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56D2">
      <w:pPr>
        <w:spacing w:line="360" w:lineRule="auto"/>
        <w:jc w:val="center"/>
        <w:outlineLvl w:val="1"/>
        <w:rPr>
          <w:rFonts w:ascii="宋体" w:hAnsi="宋体" w:eastAsia="宋体" w:cs="宋体"/>
          <w:b/>
          <w:sz w:val="28"/>
        </w:rPr>
      </w:pPr>
      <w:r>
        <w:rPr>
          <w:rFonts w:hint="eastAsia" w:ascii="宋体" w:hAnsi="宋体" w:eastAsia="宋体" w:cs="宋体"/>
          <w:b/>
          <w:sz w:val="28"/>
        </w:rPr>
        <w:t>采购需求</w:t>
      </w:r>
    </w:p>
    <w:p w14:paraId="0870AF27">
      <w:pPr>
        <w:spacing w:line="360" w:lineRule="auto"/>
        <w:rPr>
          <w:rFonts w:ascii="宋体" w:hAnsi="宋体" w:eastAsia="宋体" w:cs="宋体"/>
          <w:b/>
          <w:sz w:val="24"/>
        </w:rPr>
      </w:pPr>
      <w:r>
        <w:rPr>
          <w:rFonts w:hint="eastAsia" w:ascii="宋体" w:hAnsi="宋体" w:eastAsia="宋体" w:cs="宋体"/>
          <w:b/>
          <w:sz w:val="24"/>
        </w:rPr>
        <w:t>前注：</w:t>
      </w:r>
    </w:p>
    <w:p w14:paraId="65FC1E31">
      <w:pPr>
        <w:spacing w:line="360" w:lineRule="auto"/>
        <w:ind w:firstLine="435"/>
        <w:rPr>
          <w:rFonts w:ascii="宋体" w:hAnsi="宋体" w:eastAsia="宋体" w:cs="宋体"/>
          <w:sz w:val="24"/>
        </w:rPr>
      </w:pPr>
      <w:r>
        <w:rPr>
          <w:rFonts w:hint="eastAsia" w:ascii="宋体" w:hAnsi="宋体" w:eastAsia="宋体" w:cs="宋体"/>
          <w:sz w:val="24"/>
        </w:rPr>
        <w:t>1.本采购需求中提出的服务方案仅为参考，如无明确限制，投标人可以进行优化，提供满足采购人实际需要的更优（或者性能实质上不低于的）服务方案，且此方案须经评标委员会评审认可。</w:t>
      </w:r>
    </w:p>
    <w:p w14:paraId="141F3264">
      <w:pPr>
        <w:spacing w:line="360" w:lineRule="auto"/>
        <w:ind w:firstLine="435"/>
        <w:rPr>
          <w:rFonts w:ascii="宋体" w:hAnsi="宋体" w:eastAsia="宋体" w:cs="宋体"/>
          <w:sz w:val="24"/>
        </w:rPr>
      </w:pPr>
      <w:r>
        <w:rPr>
          <w:rFonts w:hint="eastAsia" w:ascii="宋体" w:hAnsi="宋体" w:eastAsia="宋体" w:cs="宋体"/>
          <w:sz w:val="24"/>
        </w:rPr>
        <w:t>2.下列采购需求中：</w:t>
      </w:r>
    </w:p>
    <w:p w14:paraId="0BDCF216">
      <w:pPr>
        <w:spacing w:line="360" w:lineRule="auto"/>
        <w:ind w:firstLine="435"/>
        <w:rPr>
          <w:rFonts w:ascii="宋体" w:hAnsi="宋体" w:eastAsia="宋体" w:cs="宋体"/>
          <w:sz w:val="24"/>
        </w:rPr>
      </w:pPr>
      <w:r>
        <w:rPr>
          <w:rFonts w:hint="eastAsia" w:ascii="宋体" w:hAnsi="宋体" w:eastAsia="宋体" w:cs="宋体"/>
          <w:sz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63FDB9B">
      <w:pPr>
        <w:spacing w:line="360" w:lineRule="auto"/>
        <w:ind w:firstLine="435"/>
        <w:rPr>
          <w:rFonts w:ascii="宋体" w:hAnsi="宋体" w:eastAsia="宋体" w:cs="宋体"/>
          <w:sz w:val="24"/>
        </w:rPr>
      </w:pPr>
      <w:r>
        <w:rPr>
          <w:rFonts w:hint="eastAsia" w:ascii="宋体" w:hAnsi="宋体" w:eastAsia="宋体" w:cs="宋体"/>
          <w:sz w:val="24"/>
        </w:rPr>
        <w:t>（2）如涉及商品包装和快递包装，投标人应当执行《关于印发〈商品包装政府采购需求标准（试行）〉、〈快递包装政府采购需求标准（试行）〉的通知》（财办库〔2020〕123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7505EE51">
      <w:pPr>
        <w:pStyle w:val="9"/>
        <w:spacing w:before="0" w:line="240" w:lineRule="auto"/>
        <w:rPr>
          <w:rFonts w:ascii="宋体" w:hAnsi="宋体" w:eastAsia="宋体" w:cs="宋体"/>
          <w:color w:val="auto"/>
          <w:kern w:val="2"/>
          <w:sz w:val="24"/>
          <w:szCs w:val="20"/>
        </w:rPr>
      </w:pPr>
      <w:r>
        <w:rPr>
          <w:rFonts w:hint="eastAsia" w:ascii="宋体" w:hAnsi="宋体" w:eastAsia="宋体" w:cs="宋体"/>
          <w:color w:val="auto"/>
          <w:kern w:val="2"/>
          <w:sz w:val="24"/>
          <w:szCs w:val="20"/>
        </w:rPr>
        <w:t>一、采购需求前附表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967"/>
        <w:gridCol w:w="5549"/>
      </w:tblGrid>
      <w:tr w14:paraId="4D64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F94956E">
            <w:pPr>
              <w:pStyle w:val="10"/>
              <w:pBdr>
                <w:bottom w:val="none" w:color="auto" w:sz="0" w:space="0"/>
              </w:pBdr>
              <w:tabs>
                <w:tab w:val="clear" w:pos="4153"/>
                <w:tab w:val="clear" w:pos="8306"/>
              </w:tabs>
              <w:adjustRightInd/>
              <w:spacing w:line="240" w:lineRule="auto"/>
              <w:textAlignment w:val="auto"/>
              <w:rPr>
                <w:rFonts w:ascii="宋体" w:hAnsi="宋体" w:eastAsia="宋体" w:cs="宋体"/>
                <w:b/>
                <w:kern w:val="2"/>
              </w:rPr>
            </w:pPr>
            <w:r>
              <w:rPr>
                <w:rFonts w:hint="eastAsia" w:ascii="宋体" w:hAnsi="宋体" w:eastAsia="宋体" w:cs="宋体"/>
                <w:b/>
                <w:kern w:val="2"/>
              </w:rPr>
              <w:t>序号</w:t>
            </w:r>
          </w:p>
        </w:tc>
        <w:tc>
          <w:tcPr>
            <w:tcW w:w="1967" w:type="dxa"/>
            <w:vAlign w:val="center"/>
          </w:tcPr>
          <w:p w14:paraId="02358E7B">
            <w:pPr>
              <w:pStyle w:val="11"/>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条款名称</w:t>
            </w:r>
          </w:p>
        </w:tc>
        <w:tc>
          <w:tcPr>
            <w:tcW w:w="5549" w:type="dxa"/>
            <w:vAlign w:val="center"/>
          </w:tcPr>
          <w:p w14:paraId="5BA7BF5A">
            <w:pPr>
              <w:pStyle w:val="11"/>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内容、说明与要求</w:t>
            </w:r>
          </w:p>
        </w:tc>
      </w:tr>
      <w:tr w14:paraId="4FE1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D793693">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1</w:t>
            </w:r>
          </w:p>
        </w:tc>
        <w:tc>
          <w:tcPr>
            <w:tcW w:w="1967" w:type="dxa"/>
            <w:vAlign w:val="center"/>
          </w:tcPr>
          <w:p w14:paraId="1E2F682A">
            <w:pPr>
              <w:pStyle w:val="11"/>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付款方式</w:t>
            </w:r>
          </w:p>
        </w:tc>
        <w:tc>
          <w:tcPr>
            <w:tcW w:w="5549" w:type="dxa"/>
            <w:vAlign w:val="center"/>
          </w:tcPr>
          <w:p w14:paraId="1BBBE708">
            <w:pPr>
              <w:pStyle w:val="11"/>
              <w:widowControl w:val="0"/>
              <w:spacing w:before="0" w:beforeAutospacing="0" w:after="0" w:afterAutospacing="0" w:line="360" w:lineRule="auto"/>
              <w:jc w:val="both"/>
              <w:rPr>
                <w:rFonts w:ascii="Times New Roman" w:hAnsi="Times New Roman" w:eastAsia="宋体" w:cs="Times New Roman"/>
                <w:b w:val="0"/>
                <w:sz w:val="24"/>
                <w:lang w:val="zh-CN"/>
              </w:rPr>
            </w:pPr>
            <w:r>
              <w:rPr>
                <w:rFonts w:hint="eastAsia" w:ascii="Times New Roman" w:hAnsi="Times New Roman" w:eastAsia="宋体" w:cs="Times New Roman"/>
                <w:b w:val="0"/>
                <w:sz w:val="24"/>
                <w:lang w:val="zh-CN"/>
              </w:rPr>
              <w:t>合同签订后，采购人支付合同总金额的</w:t>
            </w:r>
            <w:r>
              <w:rPr>
                <w:rFonts w:hint="eastAsia" w:ascii="Times New Roman" w:hAnsi="Times New Roman" w:eastAsia="宋体" w:cs="Times New Roman"/>
                <w:b w:val="0"/>
                <w:sz w:val="24"/>
              </w:rPr>
              <w:t>4</w:t>
            </w:r>
            <w:r>
              <w:rPr>
                <w:rFonts w:hint="eastAsia" w:ascii="Times New Roman" w:hAnsi="Times New Roman" w:eastAsia="宋体" w:cs="Times New Roman"/>
                <w:b w:val="0"/>
                <w:sz w:val="24"/>
                <w:lang w:val="zh-CN"/>
              </w:rPr>
              <w:t>0％作为预付款；</w:t>
            </w:r>
          </w:p>
          <w:p w14:paraId="129AD43B">
            <w:pPr>
              <w:pStyle w:val="11"/>
              <w:widowControl w:val="0"/>
              <w:spacing w:before="0" w:beforeAutospacing="0" w:after="0" w:afterAutospacing="0" w:line="360" w:lineRule="auto"/>
              <w:jc w:val="both"/>
              <w:rPr>
                <w:rFonts w:ascii="Times New Roman" w:hAnsi="Times New Roman" w:eastAsia="宋体" w:cs="Times New Roman"/>
                <w:b w:val="0"/>
                <w:sz w:val="24"/>
                <w:lang w:val="zh-CN"/>
              </w:rPr>
            </w:pPr>
            <w:r>
              <w:rPr>
                <w:rFonts w:hint="eastAsia" w:ascii="Times New Roman" w:hAnsi="Times New Roman" w:eastAsia="宋体" w:cs="Times New Roman"/>
                <w:b w:val="0"/>
                <w:sz w:val="24"/>
                <w:lang w:val="zh-CN"/>
              </w:rPr>
              <w:t>中标人完成资料收集、现场踏勘、人员访谈，提交调查对象的布点方案，并通过专家评审；完成该包别规定的所有调查对象的采样监测，监测数据及地下水监测井通过采购人委托的质控单位考核要求；提交该包别规定的所有调查或划分报告，并通过专家评审；采购人支付该包别合同总金额的30％；</w:t>
            </w:r>
          </w:p>
          <w:p w14:paraId="58CCA95C">
            <w:pPr>
              <w:pStyle w:val="11"/>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lang w:val="zh-CN"/>
              </w:rPr>
              <w:t>中标人完成采购人组织的验收（任务验收、档案验收）后，采购人一次性支付剩余合同款项。</w:t>
            </w:r>
          </w:p>
          <w:p w14:paraId="3E8A04AA">
            <w:pPr>
              <w:pStyle w:val="11"/>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供应商提交的响应文件中如有关于付款条件的表述与磋商文件规定不符，将被视为实质性不响应，将导致磋商无效。</w:t>
            </w:r>
          </w:p>
        </w:tc>
      </w:tr>
      <w:tr w14:paraId="2E94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417A5BB">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2</w:t>
            </w:r>
          </w:p>
        </w:tc>
        <w:tc>
          <w:tcPr>
            <w:tcW w:w="1967" w:type="dxa"/>
            <w:vAlign w:val="center"/>
          </w:tcPr>
          <w:p w14:paraId="3A3DB32D">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服务地点</w:t>
            </w:r>
          </w:p>
        </w:tc>
        <w:tc>
          <w:tcPr>
            <w:tcW w:w="5549" w:type="dxa"/>
            <w:vAlign w:val="center"/>
          </w:tcPr>
          <w:p w14:paraId="6C0FA0AF">
            <w:pPr>
              <w:pStyle w:val="11"/>
              <w:widowControl w:val="0"/>
              <w:spacing w:before="0" w:beforeAutospacing="0" w:after="0" w:afterAutospacing="0" w:line="360" w:lineRule="auto"/>
              <w:jc w:val="both"/>
              <w:rPr>
                <w:rFonts w:ascii="宋体" w:hAnsi="宋体" w:eastAsia="宋体" w:cs="宋体"/>
                <w:b w:val="0"/>
                <w:sz w:val="24"/>
              </w:rPr>
            </w:pPr>
            <w:r>
              <w:rPr>
                <w:rFonts w:hint="eastAsia" w:ascii="Times New Roman" w:hAnsi="Times New Roman" w:eastAsia="宋体" w:cs="Times New Roman"/>
                <w:b w:val="0"/>
                <w:sz w:val="24"/>
              </w:rPr>
              <w:t>合肥市，采购人指定地点</w:t>
            </w:r>
          </w:p>
        </w:tc>
      </w:tr>
      <w:tr w14:paraId="71EF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006" w:type="dxa"/>
            <w:vAlign w:val="center"/>
          </w:tcPr>
          <w:p w14:paraId="08EF3F87">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3</w:t>
            </w:r>
          </w:p>
        </w:tc>
        <w:tc>
          <w:tcPr>
            <w:tcW w:w="1967" w:type="dxa"/>
            <w:vAlign w:val="center"/>
          </w:tcPr>
          <w:p w14:paraId="5D64DB55">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服务期限</w:t>
            </w:r>
          </w:p>
        </w:tc>
        <w:tc>
          <w:tcPr>
            <w:tcW w:w="5549" w:type="dxa"/>
            <w:vAlign w:val="center"/>
          </w:tcPr>
          <w:p w14:paraId="013F3C0D">
            <w:pPr>
              <w:pStyle w:val="11"/>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合同签订后，直到指定区域内调查对象完成监测及质量控制，完成数据分析、报告编制和成果集成，完成采购人组织的行政验收为止。</w:t>
            </w:r>
          </w:p>
        </w:tc>
      </w:tr>
    </w:tbl>
    <w:p w14:paraId="328F856C">
      <w:pPr>
        <w:spacing w:line="360" w:lineRule="auto"/>
        <w:ind w:firstLine="437"/>
        <w:rPr>
          <w:rFonts w:ascii="Times New Roman" w:hAnsi="Times New Roman" w:eastAsia="宋体" w:cs="Times New Roman"/>
          <w:b/>
          <w:sz w:val="24"/>
          <w:szCs w:val="18"/>
        </w:rPr>
      </w:pPr>
      <w:bookmarkStart w:id="0" w:name="_Hlk23621890"/>
      <w:r>
        <w:rPr>
          <w:rFonts w:hint="eastAsia" w:ascii="Times New Roman" w:hAnsi="Times New Roman" w:eastAsia="宋体" w:cs="Times New Roman"/>
          <w:b/>
          <w:sz w:val="24"/>
          <w:szCs w:val="18"/>
        </w:rPr>
        <w:t>二</w:t>
      </w:r>
      <w:r>
        <w:rPr>
          <w:rFonts w:ascii="Times New Roman" w:hAnsi="Times New Roman" w:eastAsia="宋体" w:cs="Times New Roman"/>
          <w:b/>
          <w:sz w:val="24"/>
          <w:szCs w:val="18"/>
        </w:rPr>
        <w:t>、项目概况</w:t>
      </w:r>
    </w:p>
    <w:bookmarkEnd w:id="0"/>
    <w:p w14:paraId="46FE3B94">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本项目拟开展合肥市4个矿山开采区、9个矿山聚集区区域水文地质调查相关工作，工作内容包括现场踏勘、区域水文地质调查、水文地质试验等，调查对象基本信息如下：</w:t>
      </w:r>
    </w:p>
    <w:p w14:paraId="22407136">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表1  调查对象清单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4175"/>
        <w:gridCol w:w="1969"/>
        <w:gridCol w:w="1337"/>
      </w:tblGrid>
      <w:tr w14:paraId="05BA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D43F34B">
            <w:pPr>
              <w:adjustRightInd w:val="0"/>
              <w:snapToGrid w:val="0"/>
              <w:spacing w:line="36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序号</w:t>
            </w:r>
          </w:p>
        </w:tc>
        <w:tc>
          <w:tcPr>
            <w:tcW w:w="4536" w:type="dxa"/>
            <w:vAlign w:val="center"/>
          </w:tcPr>
          <w:p w14:paraId="52D95372">
            <w:pPr>
              <w:adjustRightInd w:val="0"/>
              <w:snapToGrid w:val="0"/>
              <w:spacing w:line="36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矿山名称</w:t>
            </w:r>
          </w:p>
        </w:tc>
        <w:tc>
          <w:tcPr>
            <w:tcW w:w="2126" w:type="dxa"/>
            <w:vAlign w:val="center"/>
          </w:tcPr>
          <w:p w14:paraId="76631606">
            <w:pPr>
              <w:adjustRightInd w:val="0"/>
              <w:snapToGrid w:val="0"/>
              <w:spacing w:line="36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地区</w:t>
            </w:r>
          </w:p>
        </w:tc>
        <w:tc>
          <w:tcPr>
            <w:tcW w:w="1428" w:type="dxa"/>
            <w:vAlign w:val="center"/>
          </w:tcPr>
          <w:p w14:paraId="5250EDAC">
            <w:pPr>
              <w:adjustRightInd w:val="0"/>
              <w:snapToGrid w:val="0"/>
              <w:spacing w:line="36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备注</w:t>
            </w:r>
          </w:p>
        </w:tc>
      </w:tr>
      <w:tr w14:paraId="14A6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9306221">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4536" w:type="dxa"/>
            <w:vAlign w:val="center"/>
          </w:tcPr>
          <w:p w14:paraId="0031848D">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英山铁矿</w:t>
            </w:r>
          </w:p>
        </w:tc>
        <w:tc>
          <w:tcPr>
            <w:tcW w:w="2126" w:type="dxa"/>
            <w:vAlign w:val="center"/>
          </w:tcPr>
          <w:p w14:paraId="06B6D2AB">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restart"/>
            <w:vAlign w:val="center"/>
          </w:tcPr>
          <w:p w14:paraId="2EBC9B80">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开采矿山</w:t>
            </w:r>
          </w:p>
        </w:tc>
      </w:tr>
      <w:tr w14:paraId="0E1F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CE13542">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4536" w:type="dxa"/>
            <w:vAlign w:val="center"/>
          </w:tcPr>
          <w:p w14:paraId="76C50BAA">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尖山铁矿</w:t>
            </w:r>
          </w:p>
        </w:tc>
        <w:tc>
          <w:tcPr>
            <w:tcW w:w="2126" w:type="dxa"/>
            <w:vAlign w:val="center"/>
          </w:tcPr>
          <w:p w14:paraId="005D6376">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19BD4C29">
            <w:pPr>
              <w:adjustRightInd w:val="0"/>
              <w:snapToGrid w:val="0"/>
              <w:spacing w:line="360" w:lineRule="auto"/>
              <w:jc w:val="center"/>
              <w:rPr>
                <w:rFonts w:ascii="Times New Roman" w:hAnsi="Times New Roman" w:eastAsia="宋体" w:cs="Times New Roman"/>
                <w:kern w:val="0"/>
                <w:sz w:val="24"/>
                <w:szCs w:val="24"/>
              </w:rPr>
            </w:pPr>
          </w:p>
        </w:tc>
      </w:tr>
      <w:tr w14:paraId="46E7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6B4EC94">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4536" w:type="dxa"/>
            <w:vAlign w:val="center"/>
          </w:tcPr>
          <w:p w14:paraId="45E4C5D5">
            <w:pPr>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林业山铁矿</w:t>
            </w:r>
          </w:p>
        </w:tc>
        <w:tc>
          <w:tcPr>
            <w:tcW w:w="2126" w:type="dxa"/>
            <w:vAlign w:val="center"/>
          </w:tcPr>
          <w:p w14:paraId="74866726">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633016C9">
            <w:pPr>
              <w:adjustRightInd w:val="0"/>
              <w:snapToGrid w:val="0"/>
              <w:spacing w:line="360" w:lineRule="auto"/>
              <w:jc w:val="center"/>
              <w:rPr>
                <w:rFonts w:ascii="Times New Roman" w:hAnsi="Times New Roman" w:eastAsia="宋体" w:cs="Times New Roman"/>
                <w:kern w:val="0"/>
                <w:sz w:val="24"/>
                <w:szCs w:val="24"/>
              </w:rPr>
            </w:pPr>
          </w:p>
        </w:tc>
      </w:tr>
      <w:tr w14:paraId="3567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9AF7885">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4536" w:type="dxa"/>
            <w:vAlign w:val="center"/>
          </w:tcPr>
          <w:p w14:paraId="4BAF5BCF">
            <w:pPr>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巢湖市青苔山镁矿及冶金用白云岩矿</w:t>
            </w:r>
          </w:p>
        </w:tc>
        <w:tc>
          <w:tcPr>
            <w:tcW w:w="2126" w:type="dxa"/>
            <w:vAlign w:val="center"/>
          </w:tcPr>
          <w:p w14:paraId="2161F7B5">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4668969F">
            <w:pPr>
              <w:adjustRightInd w:val="0"/>
              <w:snapToGrid w:val="0"/>
              <w:spacing w:line="360" w:lineRule="auto"/>
              <w:jc w:val="center"/>
              <w:rPr>
                <w:rFonts w:ascii="Times New Roman" w:hAnsi="Times New Roman" w:eastAsia="宋体" w:cs="Times New Roman"/>
                <w:kern w:val="0"/>
                <w:sz w:val="24"/>
                <w:szCs w:val="24"/>
              </w:rPr>
            </w:pPr>
          </w:p>
        </w:tc>
      </w:tr>
      <w:tr w14:paraId="4153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52C11BF4">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4536" w:type="dxa"/>
            <w:vAlign w:val="center"/>
          </w:tcPr>
          <w:p w14:paraId="555A3176">
            <w:pPr>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卧牛山街道矿山聚集区</w:t>
            </w:r>
          </w:p>
        </w:tc>
        <w:tc>
          <w:tcPr>
            <w:tcW w:w="2126" w:type="dxa"/>
            <w:vAlign w:val="center"/>
          </w:tcPr>
          <w:p w14:paraId="00286333">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restart"/>
            <w:vAlign w:val="center"/>
          </w:tcPr>
          <w:p w14:paraId="28723B26">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矿山集聚区</w:t>
            </w:r>
          </w:p>
        </w:tc>
      </w:tr>
      <w:tr w14:paraId="66D9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BC3C305">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4536" w:type="dxa"/>
            <w:vAlign w:val="center"/>
          </w:tcPr>
          <w:p w14:paraId="301D700F">
            <w:pPr>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散兵镇姥山村矿山聚集区</w:t>
            </w:r>
          </w:p>
        </w:tc>
        <w:tc>
          <w:tcPr>
            <w:tcW w:w="2126" w:type="dxa"/>
            <w:vAlign w:val="center"/>
          </w:tcPr>
          <w:p w14:paraId="7460AFBC">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3C42B9A8">
            <w:pPr>
              <w:adjustRightInd w:val="0"/>
              <w:snapToGrid w:val="0"/>
              <w:spacing w:line="360" w:lineRule="auto"/>
              <w:jc w:val="center"/>
              <w:rPr>
                <w:rFonts w:ascii="Times New Roman" w:hAnsi="Times New Roman" w:eastAsia="宋体" w:cs="Times New Roman"/>
                <w:kern w:val="0"/>
                <w:sz w:val="24"/>
                <w:szCs w:val="24"/>
              </w:rPr>
            </w:pPr>
          </w:p>
        </w:tc>
      </w:tr>
      <w:tr w14:paraId="0F89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4AD04C6">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4536" w:type="dxa"/>
            <w:vAlign w:val="center"/>
          </w:tcPr>
          <w:p w14:paraId="6C9CF32C">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散兵镇佛岭村矿山聚集区</w:t>
            </w:r>
          </w:p>
        </w:tc>
        <w:tc>
          <w:tcPr>
            <w:tcW w:w="2126" w:type="dxa"/>
            <w:vAlign w:val="center"/>
          </w:tcPr>
          <w:p w14:paraId="5C29D79E">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4C41B352">
            <w:pPr>
              <w:adjustRightInd w:val="0"/>
              <w:snapToGrid w:val="0"/>
              <w:spacing w:line="360" w:lineRule="auto"/>
              <w:jc w:val="center"/>
              <w:rPr>
                <w:rFonts w:ascii="Times New Roman" w:hAnsi="Times New Roman" w:eastAsia="宋体" w:cs="Times New Roman"/>
                <w:kern w:val="0"/>
                <w:sz w:val="24"/>
                <w:szCs w:val="24"/>
              </w:rPr>
            </w:pPr>
          </w:p>
        </w:tc>
      </w:tr>
      <w:tr w14:paraId="7639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D5D46D8">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4536" w:type="dxa"/>
            <w:vAlign w:val="center"/>
          </w:tcPr>
          <w:p w14:paraId="1E737D06">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银屏镇钓鱼村、爱国村矿山聚集区</w:t>
            </w:r>
          </w:p>
        </w:tc>
        <w:tc>
          <w:tcPr>
            <w:tcW w:w="2126" w:type="dxa"/>
            <w:vAlign w:val="center"/>
          </w:tcPr>
          <w:p w14:paraId="4F901DA1">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66CD8A25">
            <w:pPr>
              <w:adjustRightInd w:val="0"/>
              <w:snapToGrid w:val="0"/>
              <w:spacing w:line="360" w:lineRule="auto"/>
              <w:jc w:val="center"/>
              <w:rPr>
                <w:rFonts w:ascii="Times New Roman" w:hAnsi="Times New Roman" w:eastAsia="宋体" w:cs="Times New Roman"/>
                <w:kern w:val="0"/>
                <w:sz w:val="24"/>
                <w:szCs w:val="24"/>
              </w:rPr>
            </w:pPr>
          </w:p>
        </w:tc>
      </w:tr>
      <w:tr w14:paraId="1B9D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9D951E1">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4536" w:type="dxa"/>
            <w:vAlign w:val="center"/>
          </w:tcPr>
          <w:p w14:paraId="4126EEB1">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银屏镇白牡山村历史遗留矿山</w:t>
            </w:r>
          </w:p>
        </w:tc>
        <w:tc>
          <w:tcPr>
            <w:tcW w:w="2126" w:type="dxa"/>
            <w:vAlign w:val="center"/>
          </w:tcPr>
          <w:p w14:paraId="0D9FE0DC">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49820242">
            <w:pPr>
              <w:adjustRightInd w:val="0"/>
              <w:snapToGrid w:val="0"/>
              <w:spacing w:line="360" w:lineRule="auto"/>
              <w:jc w:val="center"/>
              <w:rPr>
                <w:rFonts w:ascii="Times New Roman" w:hAnsi="Times New Roman" w:eastAsia="宋体" w:cs="Times New Roman"/>
                <w:kern w:val="0"/>
                <w:sz w:val="24"/>
                <w:szCs w:val="24"/>
              </w:rPr>
            </w:pPr>
          </w:p>
        </w:tc>
      </w:tr>
      <w:tr w14:paraId="10A0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0E5574E">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4536" w:type="dxa"/>
            <w:vAlign w:val="center"/>
          </w:tcPr>
          <w:p w14:paraId="7952EBDA">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槐林镇大汪村历史遗留矿山</w:t>
            </w:r>
          </w:p>
        </w:tc>
        <w:tc>
          <w:tcPr>
            <w:tcW w:w="2126" w:type="dxa"/>
            <w:vAlign w:val="center"/>
          </w:tcPr>
          <w:p w14:paraId="7D2F03F4">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0FB79377">
            <w:pPr>
              <w:adjustRightInd w:val="0"/>
              <w:snapToGrid w:val="0"/>
              <w:spacing w:line="360" w:lineRule="auto"/>
              <w:jc w:val="center"/>
              <w:rPr>
                <w:rFonts w:ascii="Times New Roman" w:hAnsi="Times New Roman" w:eastAsia="宋体" w:cs="Times New Roman"/>
                <w:kern w:val="0"/>
                <w:sz w:val="24"/>
                <w:szCs w:val="24"/>
              </w:rPr>
            </w:pPr>
          </w:p>
        </w:tc>
      </w:tr>
      <w:tr w14:paraId="42B4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B4C2B15">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4536" w:type="dxa"/>
            <w:vAlign w:val="center"/>
          </w:tcPr>
          <w:p w14:paraId="041D7590">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散兵镇大艾村历史遗留矿山</w:t>
            </w:r>
          </w:p>
        </w:tc>
        <w:tc>
          <w:tcPr>
            <w:tcW w:w="2126" w:type="dxa"/>
            <w:vAlign w:val="center"/>
          </w:tcPr>
          <w:p w14:paraId="7933B9E0">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506EB8CA">
            <w:pPr>
              <w:adjustRightInd w:val="0"/>
              <w:snapToGrid w:val="0"/>
              <w:spacing w:line="360" w:lineRule="auto"/>
              <w:jc w:val="center"/>
              <w:rPr>
                <w:rFonts w:ascii="Times New Roman" w:hAnsi="Times New Roman" w:eastAsia="宋体" w:cs="Times New Roman"/>
                <w:kern w:val="0"/>
                <w:sz w:val="24"/>
                <w:szCs w:val="24"/>
              </w:rPr>
            </w:pPr>
          </w:p>
        </w:tc>
      </w:tr>
      <w:tr w14:paraId="745C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F3C7F12">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4536" w:type="dxa"/>
            <w:vAlign w:val="center"/>
          </w:tcPr>
          <w:p w14:paraId="1EE38113">
            <w:pPr>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散兵镇项山村历史遗留矿山</w:t>
            </w:r>
          </w:p>
        </w:tc>
        <w:tc>
          <w:tcPr>
            <w:tcW w:w="2126" w:type="dxa"/>
            <w:vAlign w:val="center"/>
          </w:tcPr>
          <w:p w14:paraId="18DB7DD6">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37773C9B">
            <w:pPr>
              <w:adjustRightInd w:val="0"/>
              <w:snapToGrid w:val="0"/>
              <w:spacing w:line="360" w:lineRule="auto"/>
              <w:jc w:val="center"/>
              <w:rPr>
                <w:rFonts w:ascii="Times New Roman" w:hAnsi="Times New Roman" w:eastAsia="宋体" w:cs="Times New Roman"/>
                <w:kern w:val="0"/>
                <w:sz w:val="24"/>
                <w:szCs w:val="24"/>
              </w:rPr>
            </w:pPr>
          </w:p>
        </w:tc>
      </w:tr>
      <w:tr w14:paraId="61F8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81E99DA">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4536" w:type="dxa"/>
            <w:vAlign w:val="center"/>
          </w:tcPr>
          <w:p w14:paraId="390109B3">
            <w:pPr>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炯炀镇太和村、固山村矿山聚集区</w:t>
            </w:r>
          </w:p>
        </w:tc>
        <w:tc>
          <w:tcPr>
            <w:tcW w:w="2126" w:type="dxa"/>
            <w:vAlign w:val="center"/>
          </w:tcPr>
          <w:p w14:paraId="77DDF922">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巢湖</w:t>
            </w:r>
          </w:p>
        </w:tc>
        <w:tc>
          <w:tcPr>
            <w:tcW w:w="1428" w:type="dxa"/>
            <w:vMerge w:val="continue"/>
            <w:vAlign w:val="center"/>
          </w:tcPr>
          <w:p w14:paraId="19AB76C7">
            <w:pPr>
              <w:adjustRightInd w:val="0"/>
              <w:snapToGrid w:val="0"/>
              <w:spacing w:line="360" w:lineRule="auto"/>
              <w:jc w:val="center"/>
              <w:rPr>
                <w:rFonts w:ascii="Times New Roman" w:hAnsi="Times New Roman" w:eastAsia="宋体" w:cs="Times New Roman"/>
                <w:kern w:val="0"/>
                <w:sz w:val="24"/>
                <w:szCs w:val="24"/>
              </w:rPr>
            </w:pPr>
          </w:p>
        </w:tc>
      </w:tr>
    </w:tbl>
    <w:p w14:paraId="145FA87A">
      <w:pPr>
        <w:spacing w:line="360" w:lineRule="auto"/>
        <w:ind w:left="143" w:leftChars="68" w:firstLine="480" w:firstLineChars="200"/>
        <w:rPr>
          <w:rFonts w:ascii="Times New Roman" w:hAnsi="Times New Roman" w:eastAsia="宋体" w:cs="Times New Roman"/>
          <w:kern w:val="0"/>
          <w:sz w:val="24"/>
          <w:szCs w:val="24"/>
        </w:rPr>
      </w:pPr>
    </w:p>
    <w:p w14:paraId="34CF1BA0">
      <w:pPr>
        <w:spacing w:line="360" w:lineRule="auto"/>
        <w:ind w:firstLine="437"/>
        <w:rPr>
          <w:rFonts w:ascii="Times New Roman" w:hAnsi="Times New Roman" w:eastAsia="宋体" w:cs="Times New Roman"/>
          <w:b/>
          <w:sz w:val="24"/>
          <w:szCs w:val="18"/>
        </w:rPr>
      </w:pPr>
      <w:r>
        <w:rPr>
          <w:rFonts w:hint="eastAsia" w:ascii="Times New Roman" w:hAnsi="Times New Roman" w:eastAsia="宋体" w:cs="Times New Roman"/>
          <w:b/>
          <w:sz w:val="24"/>
          <w:szCs w:val="18"/>
        </w:rPr>
        <w:t>三</w:t>
      </w:r>
      <w:r>
        <w:rPr>
          <w:rFonts w:ascii="Times New Roman" w:hAnsi="Times New Roman" w:eastAsia="宋体" w:cs="Times New Roman"/>
          <w:b/>
          <w:sz w:val="24"/>
          <w:szCs w:val="18"/>
        </w:rPr>
        <w:t>、服务要求</w:t>
      </w:r>
    </w:p>
    <w:p w14:paraId="086391A9">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（1）开展简易水文地质调查工作，分析13个矿山区域浅层地下水类型、补径排条件、地下水流向、地下水埋深等，提交水文地质调查成果报告1份。</w:t>
      </w:r>
    </w:p>
    <w:p w14:paraId="6ED7AD46">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（2）开展水文地质试验不少于5组，获取必要的水文地质参数。</w:t>
      </w:r>
    </w:p>
    <w:p w14:paraId="432903BC">
      <w:pPr>
        <w:spacing w:line="360" w:lineRule="auto"/>
        <w:ind w:firstLine="480" w:firstLineChars="200"/>
        <w:rPr>
          <w:rFonts w:hint="eastAsia" w:ascii="Times New Roman" w:hAnsi="Times New Roman" w:eastAsia="宋体" w:cs="Times New Roman"/>
          <w:bCs/>
          <w:sz w:val="24"/>
          <w:szCs w:val="24"/>
        </w:rPr>
      </w:pPr>
      <w:r>
        <w:rPr>
          <w:rFonts w:ascii="Times New Roman" w:hAnsi="Times New Roman" w:eastAsia="宋体" w:cs="Times New Roman"/>
          <w:bCs/>
          <w:sz w:val="24"/>
          <w:szCs w:val="24"/>
        </w:rPr>
        <w:t>（3）匹配相关技术人员，项目负责人须具备水工环高级及以上职称，工作小组不少于4人。</w:t>
      </w:r>
    </w:p>
    <w:p w14:paraId="178124DB">
      <w:pPr>
        <w:spacing w:line="360" w:lineRule="auto"/>
        <w:ind w:firstLine="437"/>
        <w:rPr>
          <w:rFonts w:ascii="Times New Roman" w:hAnsi="Times New Roman" w:eastAsia="宋体" w:cs="Times New Roman"/>
          <w:b/>
          <w:sz w:val="24"/>
          <w:szCs w:val="18"/>
        </w:rPr>
      </w:pPr>
      <w:r>
        <w:rPr>
          <w:rFonts w:hint="eastAsia" w:ascii="Times New Roman" w:hAnsi="Times New Roman" w:eastAsia="宋体" w:cs="Times New Roman"/>
          <w:b/>
          <w:sz w:val="24"/>
          <w:szCs w:val="18"/>
        </w:rPr>
        <w:t>四</w:t>
      </w:r>
      <w:r>
        <w:rPr>
          <w:rFonts w:ascii="Times New Roman" w:hAnsi="Times New Roman" w:eastAsia="宋体" w:cs="Times New Roman"/>
          <w:b/>
          <w:sz w:val="24"/>
          <w:szCs w:val="18"/>
        </w:rPr>
        <w:t>、服务期限</w:t>
      </w:r>
    </w:p>
    <w:p w14:paraId="506FAC11">
      <w:pPr>
        <w:spacing w:line="360" w:lineRule="auto"/>
        <w:ind w:left="143" w:leftChars="68" w:firstLine="352" w:firstLineChars="147"/>
        <w:rPr>
          <w:rFonts w:ascii="Times New Roman" w:hAnsi="Times New Roman" w:eastAsia="宋体" w:cs="Times New Roman"/>
          <w:bCs/>
          <w:sz w:val="24"/>
          <w:szCs w:val="24"/>
        </w:rPr>
      </w:pPr>
      <w:r>
        <w:rPr>
          <w:rFonts w:ascii="Times New Roman" w:hAnsi="Times New Roman" w:eastAsia="宋体" w:cs="Times New Roman"/>
          <w:bCs/>
          <w:sz w:val="24"/>
          <w:szCs w:val="24"/>
        </w:rPr>
        <w:t>2025年2月至2025年11月。</w:t>
      </w:r>
    </w:p>
    <w:p w14:paraId="6728DF17">
      <w:pPr>
        <w:spacing w:line="360" w:lineRule="auto"/>
        <w:ind w:firstLine="437"/>
        <w:rPr>
          <w:rFonts w:ascii="Times New Roman" w:hAnsi="Times New Roman" w:eastAsia="宋体" w:cs="Times New Roman"/>
          <w:b/>
          <w:sz w:val="24"/>
          <w:szCs w:val="18"/>
        </w:rPr>
      </w:pPr>
      <w:r>
        <w:rPr>
          <w:rFonts w:hint="eastAsia" w:ascii="Times New Roman" w:hAnsi="Times New Roman" w:eastAsia="宋体" w:cs="Times New Roman"/>
          <w:b/>
          <w:sz w:val="24"/>
          <w:szCs w:val="18"/>
        </w:rPr>
        <w:t>五</w:t>
      </w:r>
      <w:r>
        <w:rPr>
          <w:rFonts w:ascii="Times New Roman" w:hAnsi="Times New Roman" w:eastAsia="宋体" w:cs="Times New Roman"/>
          <w:b/>
          <w:sz w:val="24"/>
          <w:szCs w:val="18"/>
        </w:rPr>
        <w:t>、报价要求</w:t>
      </w:r>
    </w:p>
    <w:p w14:paraId="26036A2C">
      <w:pPr>
        <w:spacing w:line="360" w:lineRule="auto"/>
        <w:ind w:left="143" w:leftChars="68" w:firstLine="352" w:firstLineChars="147"/>
        <w:rPr>
          <w:rFonts w:ascii="Times New Roman" w:hAnsi="Times New Roman" w:eastAsia="宋体" w:cs="Times New Roman"/>
          <w:bCs/>
          <w:sz w:val="24"/>
          <w:szCs w:val="24"/>
        </w:rPr>
      </w:pPr>
      <w:r>
        <w:rPr>
          <w:rFonts w:ascii="Times New Roman" w:hAnsi="Times New Roman" w:eastAsia="宋体" w:cs="Times New Roman"/>
          <w:bCs/>
          <w:sz w:val="24"/>
          <w:szCs w:val="24"/>
        </w:rPr>
        <w:t>（1）本项目的服务总费用</w:t>
      </w:r>
      <w:r>
        <w:rPr>
          <w:rFonts w:ascii="Times New Roman" w:hAnsi="Times New Roman" w:eastAsia="宋体" w:cs="Times New Roman"/>
          <w:kern w:val="0"/>
          <w:sz w:val="24"/>
          <w:szCs w:val="24"/>
        </w:rPr>
        <w:t>28.5万，</w:t>
      </w:r>
      <w:r>
        <w:rPr>
          <w:rFonts w:ascii="Times New Roman" w:hAnsi="Times New Roman" w:eastAsia="宋体" w:cs="Times New Roman"/>
          <w:bCs/>
          <w:sz w:val="24"/>
          <w:szCs w:val="24"/>
        </w:rPr>
        <w:t>为完成本次服务全部内容所含一切费用，</w:t>
      </w:r>
      <w:r>
        <w:rPr>
          <w:rFonts w:ascii="Times New Roman" w:hAnsi="Times New Roman" w:eastAsia="宋体" w:cs="Times New Roman"/>
          <w:kern w:val="0"/>
          <w:sz w:val="24"/>
          <w:szCs w:val="24"/>
        </w:rPr>
        <w:t>包括技术人员费、车旅费、试验费、报告费、税费等。</w:t>
      </w:r>
      <w:r>
        <w:rPr>
          <w:rFonts w:ascii="Times New Roman" w:hAnsi="Times New Roman" w:eastAsia="宋体" w:cs="Times New Roman"/>
          <w:bCs/>
          <w:sz w:val="24"/>
          <w:szCs w:val="24"/>
        </w:rPr>
        <w:t>投标报价不得超过预算价，否则作无效报价，投标无效。</w:t>
      </w:r>
    </w:p>
    <w:p w14:paraId="6C0CD447">
      <w:pPr>
        <w:spacing w:line="360" w:lineRule="auto"/>
        <w:ind w:left="143" w:leftChars="68" w:firstLine="352" w:firstLineChars="147"/>
        <w:rPr>
          <w:rFonts w:ascii="Times New Roman" w:hAnsi="Times New Roman" w:eastAsia="宋体" w:cs="Times New Roman"/>
          <w:bCs/>
          <w:sz w:val="24"/>
          <w:szCs w:val="24"/>
        </w:rPr>
      </w:pPr>
      <w:r>
        <w:rPr>
          <w:rFonts w:ascii="Times New Roman" w:hAnsi="Times New Roman" w:eastAsia="宋体" w:cs="Times New Roman"/>
          <w:bCs/>
          <w:sz w:val="24"/>
          <w:szCs w:val="24"/>
        </w:rPr>
        <w:t>（2）投标总价作为签订合同的依据，中标价一次性包死，采购人后期不再追加费用，供应商自行考虑投标风险。</w:t>
      </w:r>
    </w:p>
    <w:p w14:paraId="1B56F6A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0000000000000000000"/>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E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9">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10">
    <w:name w:val="D&amp;L"/>
    <w:basedOn w:val="6"/>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2025-02-07T01:44:05Z</dcterms:created>
  <dc:creator>admin</dc:creator>
  <cp:lastModifiedBy>王婧</cp:lastModifiedBy>
  <dcterms:modified xsi:type="dcterms:W3CDTF">2025-02-07T01:44:11Z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eyJoZGlkIjoiOGE4YmZlNDdlMDMyMGIyYjkwZGM2YWY1OTY0ZjIxZDMiLCJ1c2VySWQiOiIxNTE4NTIyNTc5In0=</vt:lpwstr>
  </property>
  <property fmtid="{D5CDD505-2E9C-101B-9397-08002B2CF9AE}" pid="4" name="ICV">
    <vt:lpwstr>08C485E291544F2EB62180DF87FEB8F2_12</vt:lpwstr>
  </property>
</Properties>
</file>