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2ED4">
      <w:pPr>
        <w:spacing w:line="360" w:lineRule="auto"/>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采购需求</w:t>
      </w:r>
    </w:p>
    <w:p w14:paraId="1B97F6D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12038DBF">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0D0E4777">
      <w:pPr>
        <w:spacing w:line="360" w:lineRule="auto"/>
        <w:ind w:firstLine="437"/>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一、采购需求前附表</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3"/>
        <w:gridCol w:w="5977"/>
      </w:tblGrid>
      <w:tr w14:paraId="2CEB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51F0440D">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2213" w:type="dxa"/>
            <w:vAlign w:val="center"/>
          </w:tcPr>
          <w:p w14:paraId="322935E0">
            <w:pPr>
              <w:pStyle w:val="8"/>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977" w:type="dxa"/>
            <w:vAlign w:val="center"/>
          </w:tcPr>
          <w:p w14:paraId="66EA70EF">
            <w:pPr>
              <w:pStyle w:val="8"/>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2DA6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98" w:type="dxa"/>
            <w:vAlign w:val="center"/>
          </w:tcPr>
          <w:p w14:paraId="364CDCD0">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213" w:type="dxa"/>
            <w:vAlign w:val="center"/>
          </w:tcPr>
          <w:p w14:paraId="66F7DA68">
            <w:pPr>
              <w:pStyle w:val="8"/>
              <w:widowControl w:val="0"/>
              <w:spacing w:before="0" w:beforeAutospacing="0" w:after="0" w:afterAutospacing="0" w:line="360" w:lineRule="auto"/>
              <w:jc w:val="center"/>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977" w:type="dxa"/>
            <w:vAlign w:val="center"/>
          </w:tcPr>
          <w:p w14:paraId="49C79573">
            <w:pPr>
              <w:pStyle w:val="8"/>
              <w:widowControl w:val="0"/>
              <w:spacing w:before="0" w:beforeAutospacing="0" w:after="0" w:afterAutospacing="0" w:line="360" w:lineRule="auto"/>
              <w:jc w:val="both"/>
              <w:rPr>
                <w:rFonts w:hint="default" w:ascii="宋体" w:hAnsi="宋体" w:eastAsia="宋体" w:cs="宋体"/>
                <w:b w:val="0"/>
                <w:color w:val="auto"/>
                <w:sz w:val="24"/>
                <w:highlight w:val="none"/>
                <w:lang w:val="en-US" w:eastAsia="zh-CN"/>
              </w:rPr>
            </w:pPr>
            <w:r>
              <w:rPr>
                <w:rFonts w:hint="eastAsia" w:ascii="宋体" w:hAnsi="宋体" w:eastAsia="宋体" w:cs="宋体"/>
                <w:b w:val="0"/>
                <w:bCs w:val="0"/>
                <w:sz w:val="24"/>
                <w:szCs w:val="24"/>
              </w:rPr>
              <w:t>各单项工程审计结束后付至最终结算价的 97%</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color w:val="auto"/>
                <w:sz w:val="24"/>
                <w:highlight w:val="none"/>
                <w:lang w:val="en-US" w:eastAsia="zh-CN"/>
              </w:rPr>
              <w:t>余款3%待缺陷责任期满后一个月内付清。合同期内结算总金额不得超过预算价。</w:t>
            </w:r>
          </w:p>
        </w:tc>
      </w:tr>
      <w:tr w14:paraId="7F47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98" w:type="dxa"/>
            <w:vAlign w:val="center"/>
          </w:tcPr>
          <w:p w14:paraId="047C81DB">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213" w:type="dxa"/>
            <w:vAlign w:val="center"/>
          </w:tcPr>
          <w:p w14:paraId="3ED06E8A">
            <w:pPr>
              <w:pStyle w:val="8"/>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5977" w:type="dxa"/>
            <w:vAlign w:val="center"/>
          </w:tcPr>
          <w:p w14:paraId="44C04645">
            <w:pPr>
              <w:pStyle w:val="8"/>
              <w:widowControl w:val="0"/>
              <w:spacing w:before="0" w:beforeAutospacing="0" w:after="0" w:afterAutospacing="0" w:line="360" w:lineRule="auto"/>
              <w:jc w:val="both"/>
              <w:rPr>
                <w:rFonts w:hint="eastAsia" w:ascii="宋体" w:hAnsi="宋体" w:eastAsia="宋体" w:cs="宋体"/>
                <w:b w:val="0"/>
                <w:color w:val="auto"/>
                <w:sz w:val="24"/>
                <w:highlight w:val="none"/>
                <w:u w:val="none"/>
                <w:lang w:eastAsia="zh-CN"/>
              </w:rPr>
            </w:pPr>
            <w:r>
              <w:rPr>
                <w:rFonts w:hint="eastAsia" w:ascii="宋体" w:hAnsi="宋体" w:eastAsia="宋体" w:cs="宋体"/>
                <w:b w:val="0"/>
                <w:color w:val="auto"/>
                <w:sz w:val="24"/>
                <w:highlight w:val="none"/>
                <w:u w:val="none"/>
                <w:lang w:val="en-US" w:eastAsia="zh-CN"/>
              </w:rPr>
              <w:t>合肥工业大学宣城校区校园内。</w:t>
            </w:r>
          </w:p>
        </w:tc>
      </w:tr>
      <w:tr w14:paraId="4736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691FAD47">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213" w:type="dxa"/>
            <w:vAlign w:val="center"/>
          </w:tcPr>
          <w:p w14:paraId="7F7535D2">
            <w:pPr>
              <w:pStyle w:val="8"/>
              <w:widowControl w:val="0"/>
              <w:spacing w:before="0" w:beforeAutospacing="0" w:after="0" w:afterAutospacing="0" w:line="360" w:lineRule="auto"/>
              <w:jc w:val="center"/>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服务期限</w:t>
            </w:r>
          </w:p>
        </w:tc>
        <w:tc>
          <w:tcPr>
            <w:tcW w:w="5977" w:type="dxa"/>
            <w:vAlign w:val="center"/>
          </w:tcPr>
          <w:p w14:paraId="56F6D1AF">
            <w:pPr>
              <w:pStyle w:val="8"/>
              <w:widowControl w:val="0"/>
              <w:spacing w:before="0" w:beforeAutospacing="0" w:after="0" w:afterAutospacing="0" w:line="360" w:lineRule="auto"/>
              <w:jc w:val="left"/>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eastAsia="zh-CN"/>
              </w:rPr>
              <w:t>服务期三年，“1+1+1”,合同一年一签，年度预算保证前提下，每年进行考核，考核结果作为续签合同依据，如履约情况良好，可续签下一年合同。</w:t>
            </w:r>
          </w:p>
        </w:tc>
      </w:tr>
      <w:tr w14:paraId="33A6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496A0E37">
            <w:pPr>
              <w:pStyle w:val="7"/>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2213" w:type="dxa"/>
            <w:vAlign w:val="center"/>
          </w:tcPr>
          <w:p w14:paraId="03019436">
            <w:pPr>
              <w:pStyle w:val="8"/>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本项目采购标的所属行业</w:t>
            </w:r>
          </w:p>
        </w:tc>
        <w:tc>
          <w:tcPr>
            <w:tcW w:w="5977" w:type="dxa"/>
            <w:vAlign w:val="center"/>
          </w:tcPr>
          <w:p w14:paraId="482CB74B">
            <w:pPr>
              <w:pStyle w:val="8"/>
              <w:widowControl w:val="0"/>
              <w:spacing w:before="0" w:beforeAutospacing="0" w:after="0" w:afterAutospacing="0" w:line="360" w:lineRule="auto"/>
              <w:jc w:val="both"/>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建筑业</w:t>
            </w:r>
          </w:p>
        </w:tc>
      </w:tr>
    </w:tbl>
    <w:p w14:paraId="73A954BB">
      <w:pPr>
        <w:spacing w:line="360" w:lineRule="auto"/>
        <w:ind w:firstLine="437"/>
        <w:rPr>
          <w:rFonts w:hint="eastAsia" w:ascii="宋体" w:hAnsi="宋体" w:eastAsia="宋体" w:cs="宋体"/>
          <w:b/>
          <w:color w:val="auto"/>
          <w:sz w:val="24"/>
          <w:szCs w:val="18"/>
          <w:highlight w:val="none"/>
        </w:rPr>
      </w:pPr>
    </w:p>
    <w:p w14:paraId="53E88FE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t>项目概况</w:t>
      </w:r>
    </w:p>
    <w:p w14:paraId="63E956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本项目分为 3 个包，每包确定 1 家中标人，服务地址位于合肥工业大学宣城校区，工程内容为校区单个项目预算金额在20万元（不含）以下的维修改造工程项目</w:t>
      </w:r>
    </w:p>
    <w:p w14:paraId="57CDD153">
      <w:pPr>
        <w:keepNext w:val="0"/>
        <w:keepLines w:val="0"/>
        <w:pageBreakBefore w:val="0"/>
        <w:widowControl w:val="0"/>
        <w:numPr>
          <w:ilvl w:val="0"/>
          <w:numId w:val="0"/>
        </w:numPr>
        <w:kinsoku/>
        <w:wordWrap/>
        <w:overflowPunct/>
        <w:topLinePunct w:val="0"/>
        <w:autoSpaceDE/>
        <w:autoSpaceDN/>
        <w:bidi w:val="0"/>
        <w:adjustRightInd/>
        <w:snapToGrid/>
        <w:spacing w:line="416" w:lineRule="auto"/>
        <w:textAlignment w:val="auto"/>
        <w:rPr>
          <w:rFonts w:hint="eastAsia" w:ascii="宋体" w:hAnsi="宋体" w:eastAsia="宋体" w:cs="宋体"/>
          <w:b/>
          <w:bCs/>
          <w:color w:val="auto"/>
          <w:kern w:val="2"/>
          <w:sz w:val="24"/>
          <w:szCs w:val="18"/>
          <w:highlight w:val="none"/>
          <w:lang w:val="en-US" w:eastAsia="zh-CN" w:bidi="ar-SA"/>
        </w:rPr>
      </w:pPr>
      <w:r>
        <w:rPr>
          <w:rFonts w:hint="eastAsia" w:ascii="宋体" w:hAnsi="宋体" w:eastAsia="宋体" w:cs="宋体"/>
          <w:b/>
          <w:bCs/>
          <w:color w:val="auto"/>
          <w:kern w:val="2"/>
          <w:sz w:val="24"/>
          <w:szCs w:val="18"/>
          <w:highlight w:val="none"/>
          <w:lang w:val="en-US" w:eastAsia="zh-CN" w:bidi="ar-SA"/>
        </w:rPr>
        <w:t>三、服务需求</w:t>
      </w:r>
    </w:p>
    <w:p w14:paraId="78741F6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服务范围：合肥工业大学宣城校区所有预算金额在 20 万元（不含）以下的维修改造工程项目。本项目拟招 三 年，合同一年一签，每年进行考核，考核结果作为续签合同依据，如履约情况良好，甲乙双方续签下一年合同。</w:t>
      </w:r>
    </w:p>
    <w:p w14:paraId="253A234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服务要求及质量标准：</w:t>
      </w:r>
    </w:p>
    <w:p w14:paraId="10AD71A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（1）工程质量、进度、安全文明施工、投资等过程控制满足学校相关规章制度要求；</w:t>
      </w:r>
    </w:p>
    <w:p w14:paraId="708461E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（2）工程结算方式要求如下：</w:t>
      </w:r>
    </w:p>
    <w:p w14:paraId="0ED4584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采用定额方式作为结算计价依据，具体定额如下：2018年《全国统一房屋修缮工程预算定额安徽省综合价格》，市级定额不齐的可参照安徽省定额或相关专业定额及配套定额，主材价按照施工月份前一个月</w:t>
      </w:r>
      <w:r>
        <w:rPr>
          <w:rFonts w:hint="eastAsia" w:ascii="宋体" w:hAnsi="宋体" w:eastAsia="宋体" w:cs="宋体"/>
          <w:sz w:val="24"/>
          <w:szCs w:val="24"/>
          <w:lang w:val="en-US" w:eastAsia="zh-CN"/>
        </w:rPr>
        <w:t>宣城市</w:t>
      </w:r>
      <w:r>
        <w:rPr>
          <w:rFonts w:hint="eastAsia" w:ascii="宋体" w:hAnsi="宋体" w:eastAsia="宋体" w:cs="宋体"/>
          <w:sz w:val="24"/>
          <w:szCs w:val="24"/>
        </w:rPr>
        <w:t>的市场信息价（主刊）给予调整（市场信息价外的主材价格在结算审计时协商定价），人工费调整执行宣城市相关文件规定，工程类别按最低类别，相关调整执行安徽省和宣城市现行的最新相关造价政策文件；</w:t>
      </w:r>
    </w:p>
    <w:p w14:paraId="0240799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最终结算价=工程竣工结算审计价格*投标费率</w:t>
      </w:r>
      <w:r>
        <w:rPr>
          <w:rFonts w:hint="eastAsia" w:ascii="宋体" w:hAnsi="宋体" w:eastAsia="宋体" w:cs="宋体"/>
          <w:sz w:val="24"/>
          <w:szCs w:val="24"/>
        </w:rPr>
        <w:t>，工程竣工结算审计价格是依据招标文件规定的定额，按照实际完成工程量，经审计部门审核确认的价格；</w:t>
      </w:r>
    </w:p>
    <w:p w14:paraId="0BB68E0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（3）付款方式</w:t>
      </w:r>
      <w:r>
        <w:rPr>
          <w:rFonts w:hint="eastAsia" w:ascii="宋体" w:hAnsi="宋体" w:eastAsia="宋体" w:cs="宋体"/>
          <w:b w:val="0"/>
          <w:bCs w:val="0"/>
          <w:sz w:val="24"/>
          <w:szCs w:val="24"/>
        </w:rPr>
        <w:t>：各单项工程审计结束后付至最终结算价的 97%，余</w:t>
      </w:r>
      <w:r>
        <w:rPr>
          <w:rFonts w:hint="eastAsia" w:ascii="宋体" w:hAnsi="宋体" w:eastAsia="宋体" w:cs="宋体"/>
          <w:sz w:val="24"/>
          <w:szCs w:val="24"/>
        </w:rPr>
        <w:t>款 3%待缺陷责任期满后一个月内付清。</w:t>
      </w:r>
    </w:p>
    <w:p w14:paraId="4024790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人员要求</w:t>
      </w:r>
    </w:p>
    <w:p w14:paraId="31076F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（1）中标单位必须配备至少两名人员（须提供 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年 1 月 1 日以来，投标人为其缴纳的连续3个月社保证明）常驻校内，项目实施周期内必须全程在场。</w:t>
      </w:r>
    </w:p>
    <w:p w14:paraId="39CF6FB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（2）中标人员出现不服从管理或管理能力不足的情况时，招标人有权要求撤换相关人员，并按照校内规章制度进行处罚。</w:t>
      </w:r>
    </w:p>
    <w:p w14:paraId="11954B6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投标品牌要求</w:t>
      </w:r>
    </w:p>
    <w:p w14:paraId="5E2960F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中标单位中标后与招标人协商相关工程材料品牌及型号，并确定相关材料、工序定价，最终决定权归于招标人，中标单位必须无条件执行。</w:t>
      </w:r>
    </w:p>
    <w:p w14:paraId="6B7792B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 项目分派和考核办法</w:t>
      </w:r>
    </w:p>
    <w:p w14:paraId="06228B7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项目分派</w:t>
      </w:r>
    </w:p>
    <w:p w14:paraId="5B587A8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项目分派方式</w:t>
      </w:r>
      <w:r>
        <w:rPr>
          <w:rFonts w:hint="eastAsia" w:ascii="宋体" w:hAnsi="宋体" w:eastAsia="宋体" w:cs="宋体"/>
          <w:sz w:val="24"/>
          <w:szCs w:val="24"/>
          <w:lang w:val="en-US" w:eastAsia="zh-CN"/>
        </w:rPr>
        <w:t>按</w:t>
      </w:r>
      <w:r>
        <w:rPr>
          <w:rFonts w:hint="eastAsia" w:ascii="宋体" w:hAnsi="宋体" w:eastAsia="宋体" w:cs="宋体"/>
          <w:sz w:val="24"/>
          <w:szCs w:val="24"/>
        </w:rPr>
        <w:t>合肥工业大学宣城校区</w:t>
      </w:r>
      <w:r>
        <w:rPr>
          <w:rFonts w:hint="eastAsia" w:ascii="宋体" w:hAnsi="宋体" w:eastAsia="宋体" w:cs="宋体"/>
          <w:sz w:val="24"/>
          <w:szCs w:val="24"/>
          <w:lang w:val="en-US" w:eastAsia="zh-CN"/>
        </w:rPr>
        <w:t>相关规定进行分派</w:t>
      </w:r>
      <w:r>
        <w:rPr>
          <w:rFonts w:hint="eastAsia" w:ascii="宋体" w:hAnsi="宋体" w:eastAsia="宋体" w:cs="宋体"/>
          <w:sz w:val="24"/>
          <w:szCs w:val="24"/>
        </w:rPr>
        <w:t>，中标单位无条件服从发包人安排的日常零星报修、抢修工程，不得以任何借口拒绝或拖延，否则发包人有权停止项目分派直至终止合同。</w:t>
      </w:r>
    </w:p>
    <w:p w14:paraId="4D49520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小型维修单位依据《宣城校区小型维修单位考核办法》进行考核。</w:t>
      </w:r>
    </w:p>
    <w:p w14:paraId="5BFE551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投标参考品牌</w:t>
      </w:r>
    </w:p>
    <w:tbl>
      <w:tblPr>
        <w:tblStyle w:val="5"/>
        <w:tblW w:w="8260" w:type="dxa"/>
        <w:jc w:val="center"/>
        <w:shd w:val="clear" w:color="auto" w:fill="auto"/>
        <w:tblLayout w:type="fixed"/>
        <w:tblCellMar>
          <w:top w:w="0" w:type="dxa"/>
          <w:left w:w="108" w:type="dxa"/>
          <w:bottom w:w="0" w:type="dxa"/>
          <w:right w:w="108" w:type="dxa"/>
        </w:tblCellMar>
      </w:tblPr>
      <w:tblGrid>
        <w:gridCol w:w="883"/>
        <w:gridCol w:w="2775"/>
        <w:gridCol w:w="4602"/>
      </w:tblGrid>
      <w:tr w14:paraId="1AA7F94E">
        <w:tblPrEx>
          <w:tblCellMar>
            <w:top w:w="0" w:type="dxa"/>
            <w:left w:w="108" w:type="dxa"/>
            <w:bottom w:w="0" w:type="dxa"/>
            <w:right w:w="108" w:type="dxa"/>
          </w:tblCellMar>
        </w:tblPrEx>
        <w:trPr>
          <w:trHeight w:val="255"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57C2A84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775" w:type="dxa"/>
            <w:tcBorders>
              <w:top w:val="single" w:color="auto" w:sz="4" w:space="0"/>
              <w:left w:val="nil"/>
              <w:bottom w:val="single" w:color="auto" w:sz="4" w:space="0"/>
              <w:right w:val="single" w:color="auto" w:sz="4" w:space="0"/>
            </w:tcBorders>
            <w:shd w:val="clear" w:color="auto" w:fill="auto"/>
            <w:vAlign w:val="center"/>
          </w:tcPr>
          <w:p w14:paraId="61849D8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材料、设备名称</w:t>
            </w:r>
          </w:p>
        </w:tc>
        <w:tc>
          <w:tcPr>
            <w:tcW w:w="4602" w:type="dxa"/>
            <w:tcBorders>
              <w:top w:val="single" w:color="auto" w:sz="4" w:space="0"/>
              <w:left w:val="nil"/>
              <w:bottom w:val="single" w:color="auto" w:sz="4" w:space="0"/>
              <w:right w:val="single" w:color="auto" w:sz="4" w:space="0"/>
            </w:tcBorders>
            <w:shd w:val="clear" w:color="auto" w:fill="auto"/>
            <w:vAlign w:val="center"/>
          </w:tcPr>
          <w:p w14:paraId="6F58A8C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参考品牌</w:t>
            </w:r>
          </w:p>
        </w:tc>
      </w:tr>
      <w:tr w14:paraId="72A19985">
        <w:tblPrEx>
          <w:shd w:val="clear" w:color="auto" w:fill="auto"/>
          <w:tblCellMar>
            <w:top w:w="0" w:type="dxa"/>
            <w:left w:w="108" w:type="dxa"/>
            <w:bottom w:w="0" w:type="dxa"/>
            <w:right w:w="108" w:type="dxa"/>
          </w:tblCellMar>
        </w:tblPrEx>
        <w:trPr>
          <w:trHeight w:val="25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754A6C9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775" w:type="dxa"/>
            <w:tcBorders>
              <w:top w:val="nil"/>
              <w:left w:val="nil"/>
              <w:bottom w:val="single" w:color="auto" w:sz="4" w:space="0"/>
              <w:right w:val="single" w:color="auto" w:sz="4" w:space="0"/>
            </w:tcBorders>
            <w:shd w:val="clear" w:color="auto" w:fill="auto"/>
            <w:vAlign w:val="center"/>
          </w:tcPr>
          <w:p w14:paraId="1AAD253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钢筋</w:t>
            </w:r>
          </w:p>
        </w:tc>
        <w:tc>
          <w:tcPr>
            <w:tcW w:w="4602" w:type="dxa"/>
            <w:tcBorders>
              <w:top w:val="nil"/>
              <w:left w:val="nil"/>
              <w:bottom w:val="single" w:color="auto" w:sz="4" w:space="0"/>
              <w:right w:val="single" w:color="auto" w:sz="4" w:space="0"/>
            </w:tcBorders>
            <w:shd w:val="clear" w:color="auto" w:fill="auto"/>
            <w:vAlign w:val="center"/>
          </w:tcPr>
          <w:p w14:paraId="411565B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马钢、宝钢、鞍钢、济钢、首钢、武钢</w:t>
            </w:r>
          </w:p>
        </w:tc>
      </w:tr>
      <w:tr w14:paraId="14D4CDE9">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7E0B2FD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775" w:type="dxa"/>
            <w:tcBorders>
              <w:top w:val="nil"/>
              <w:left w:val="nil"/>
              <w:bottom w:val="single" w:color="auto" w:sz="4" w:space="0"/>
              <w:right w:val="single" w:color="auto" w:sz="4" w:space="0"/>
            </w:tcBorders>
            <w:shd w:val="clear" w:color="auto" w:fill="auto"/>
            <w:vAlign w:val="center"/>
          </w:tcPr>
          <w:p w14:paraId="6D2296F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水泥</w:t>
            </w:r>
          </w:p>
        </w:tc>
        <w:tc>
          <w:tcPr>
            <w:tcW w:w="4602" w:type="dxa"/>
            <w:tcBorders>
              <w:top w:val="nil"/>
              <w:left w:val="nil"/>
              <w:bottom w:val="single" w:color="auto" w:sz="4" w:space="0"/>
              <w:right w:val="single" w:color="auto" w:sz="4" w:space="0"/>
            </w:tcBorders>
            <w:shd w:val="clear" w:color="auto" w:fill="auto"/>
            <w:vAlign w:val="center"/>
          </w:tcPr>
          <w:p w14:paraId="5A43BAC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东关、海螺、巢湖</w:t>
            </w:r>
          </w:p>
        </w:tc>
      </w:tr>
      <w:tr w14:paraId="5DD0A31A">
        <w:tblPrEx>
          <w:shd w:val="clear" w:color="auto" w:fill="auto"/>
          <w:tblCellMar>
            <w:top w:w="0" w:type="dxa"/>
            <w:left w:w="108" w:type="dxa"/>
            <w:bottom w:w="0" w:type="dxa"/>
            <w:right w:w="108" w:type="dxa"/>
          </w:tblCellMar>
        </w:tblPrEx>
        <w:trPr>
          <w:trHeight w:val="480"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1FA4B4A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775" w:type="dxa"/>
            <w:tcBorders>
              <w:top w:val="nil"/>
              <w:left w:val="nil"/>
              <w:bottom w:val="single" w:color="auto" w:sz="4" w:space="0"/>
              <w:right w:val="single" w:color="auto" w:sz="4" w:space="0"/>
            </w:tcBorders>
            <w:shd w:val="clear" w:color="auto" w:fill="auto"/>
            <w:vAlign w:val="center"/>
          </w:tcPr>
          <w:p w14:paraId="0C98B31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防水材料（含卷材、涂膜）</w:t>
            </w:r>
          </w:p>
        </w:tc>
        <w:tc>
          <w:tcPr>
            <w:tcW w:w="4602" w:type="dxa"/>
            <w:tcBorders>
              <w:top w:val="nil"/>
              <w:left w:val="nil"/>
              <w:bottom w:val="single" w:color="auto" w:sz="4" w:space="0"/>
              <w:right w:val="single" w:color="auto" w:sz="4" w:space="0"/>
            </w:tcBorders>
            <w:shd w:val="clear" w:color="auto" w:fill="auto"/>
            <w:vAlign w:val="center"/>
          </w:tcPr>
          <w:p w14:paraId="459B223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禹王、大禹、科顺、东方雨虹</w:t>
            </w:r>
          </w:p>
        </w:tc>
      </w:tr>
      <w:tr w14:paraId="7CAF8407">
        <w:tblPrEx>
          <w:tblCellMar>
            <w:top w:w="0" w:type="dxa"/>
            <w:left w:w="108" w:type="dxa"/>
            <w:bottom w:w="0" w:type="dxa"/>
            <w:right w:w="108" w:type="dxa"/>
          </w:tblCellMar>
        </w:tblPrEx>
        <w:trPr>
          <w:trHeight w:val="25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105ABBD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775" w:type="dxa"/>
            <w:tcBorders>
              <w:top w:val="nil"/>
              <w:left w:val="nil"/>
              <w:bottom w:val="single" w:color="auto" w:sz="4" w:space="0"/>
              <w:right w:val="single" w:color="auto" w:sz="4" w:space="0"/>
            </w:tcBorders>
            <w:shd w:val="clear" w:color="auto" w:fill="auto"/>
            <w:vAlign w:val="center"/>
          </w:tcPr>
          <w:p w14:paraId="70E1E50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pvc地板</w:t>
            </w:r>
          </w:p>
        </w:tc>
        <w:tc>
          <w:tcPr>
            <w:tcW w:w="4602" w:type="dxa"/>
            <w:tcBorders>
              <w:top w:val="nil"/>
              <w:left w:val="nil"/>
              <w:bottom w:val="single" w:color="auto" w:sz="4" w:space="0"/>
              <w:right w:val="single" w:color="auto" w:sz="4" w:space="0"/>
            </w:tcBorders>
            <w:shd w:val="clear" w:color="auto" w:fill="auto"/>
            <w:vAlign w:val="center"/>
          </w:tcPr>
          <w:p w14:paraId="7199259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韩华、LG、洁福（Gerflor）、福尔波（forbo）</w:t>
            </w:r>
          </w:p>
        </w:tc>
      </w:tr>
      <w:tr w14:paraId="769E3E72">
        <w:tblPrEx>
          <w:shd w:val="clear" w:color="auto" w:fill="auto"/>
          <w:tblCellMar>
            <w:top w:w="0" w:type="dxa"/>
            <w:left w:w="108" w:type="dxa"/>
            <w:bottom w:w="0" w:type="dxa"/>
            <w:right w:w="108" w:type="dxa"/>
          </w:tblCellMar>
        </w:tblPrEx>
        <w:trPr>
          <w:trHeight w:val="25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464EE63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775" w:type="dxa"/>
            <w:tcBorders>
              <w:top w:val="nil"/>
              <w:left w:val="nil"/>
              <w:bottom w:val="single" w:color="auto" w:sz="4" w:space="0"/>
              <w:right w:val="single" w:color="auto" w:sz="4" w:space="0"/>
            </w:tcBorders>
            <w:shd w:val="clear" w:color="auto" w:fill="auto"/>
            <w:vAlign w:val="center"/>
          </w:tcPr>
          <w:p w14:paraId="4A98001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墙、地砖</w:t>
            </w:r>
          </w:p>
        </w:tc>
        <w:tc>
          <w:tcPr>
            <w:tcW w:w="4602" w:type="dxa"/>
            <w:tcBorders>
              <w:top w:val="nil"/>
              <w:left w:val="nil"/>
              <w:bottom w:val="single" w:color="auto" w:sz="4" w:space="0"/>
              <w:right w:val="single" w:color="auto" w:sz="4" w:space="0"/>
            </w:tcBorders>
            <w:shd w:val="clear" w:color="auto" w:fill="auto"/>
            <w:vAlign w:val="center"/>
          </w:tcPr>
          <w:p w14:paraId="68ACB9D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东鹏、马可波罗、冠珠、蒙娜丽莎</w:t>
            </w:r>
          </w:p>
        </w:tc>
      </w:tr>
      <w:tr w14:paraId="280F16DB">
        <w:tblPrEx>
          <w:shd w:val="clear" w:color="auto" w:fill="auto"/>
          <w:tblCellMar>
            <w:top w:w="0" w:type="dxa"/>
            <w:left w:w="108" w:type="dxa"/>
            <w:bottom w:w="0" w:type="dxa"/>
            <w:right w:w="108" w:type="dxa"/>
          </w:tblCellMar>
        </w:tblPrEx>
        <w:trPr>
          <w:trHeight w:val="25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0DD8F82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775" w:type="dxa"/>
            <w:tcBorders>
              <w:top w:val="nil"/>
              <w:left w:val="nil"/>
              <w:bottom w:val="single" w:color="auto" w:sz="4" w:space="0"/>
              <w:right w:val="single" w:color="auto" w:sz="4" w:space="0"/>
            </w:tcBorders>
            <w:shd w:val="clear" w:color="auto" w:fill="auto"/>
            <w:vAlign w:val="center"/>
          </w:tcPr>
          <w:p w14:paraId="1FC1FCB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陶瓷薄板</w:t>
            </w:r>
          </w:p>
        </w:tc>
        <w:tc>
          <w:tcPr>
            <w:tcW w:w="4602" w:type="dxa"/>
            <w:tcBorders>
              <w:top w:val="nil"/>
              <w:left w:val="nil"/>
              <w:bottom w:val="single" w:color="auto" w:sz="4" w:space="0"/>
              <w:right w:val="single" w:color="auto" w:sz="4" w:space="0"/>
            </w:tcBorders>
            <w:shd w:val="clear" w:color="auto" w:fill="auto"/>
            <w:vAlign w:val="center"/>
          </w:tcPr>
          <w:p w14:paraId="049EAB1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东鹏、蒙娜丽莎、BTP、BOBO</w:t>
            </w:r>
          </w:p>
        </w:tc>
      </w:tr>
      <w:tr w14:paraId="1E3957CD">
        <w:tblPrEx>
          <w:shd w:val="clear" w:color="auto" w:fill="auto"/>
          <w:tblCellMar>
            <w:top w:w="0" w:type="dxa"/>
            <w:left w:w="108" w:type="dxa"/>
            <w:bottom w:w="0" w:type="dxa"/>
            <w:right w:w="108" w:type="dxa"/>
          </w:tblCellMar>
        </w:tblPrEx>
        <w:trPr>
          <w:trHeight w:val="25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373078C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775" w:type="dxa"/>
            <w:tcBorders>
              <w:top w:val="nil"/>
              <w:left w:val="nil"/>
              <w:bottom w:val="single" w:color="auto" w:sz="4" w:space="0"/>
              <w:right w:val="single" w:color="auto" w:sz="4" w:space="0"/>
            </w:tcBorders>
            <w:shd w:val="clear" w:color="auto" w:fill="auto"/>
            <w:vAlign w:val="center"/>
          </w:tcPr>
          <w:p w14:paraId="542A8EA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无机涂料</w:t>
            </w:r>
          </w:p>
        </w:tc>
        <w:tc>
          <w:tcPr>
            <w:tcW w:w="4602" w:type="dxa"/>
            <w:tcBorders>
              <w:top w:val="nil"/>
              <w:left w:val="nil"/>
              <w:bottom w:val="single" w:color="auto" w:sz="4" w:space="0"/>
              <w:right w:val="single" w:color="auto" w:sz="4" w:space="0"/>
            </w:tcBorders>
            <w:shd w:val="clear" w:color="auto" w:fill="auto"/>
            <w:vAlign w:val="center"/>
          </w:tcPr>
          <w:p w14:paraId="54C57D1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华润、多乐士、立邦</w:t>
            </w:r>
          </w:p>
        </w:tc>
      </w:tr>
      <w:tr w14:paraId="285BD3FD">
        <w:tblPrEx>
          <w:shd w:val="clear" w:color="auto" w:fill="auto"/>
          <w:tblCellMar>
            <w:top w:w="0" w:type="dxa"/>
            <w:left w:w="108" w:type="dxa"/>
            <w:bottom w:w="0" w:type="dxa"/>
            <w:right w:w="108" w:type="dxa"/>
          </w:tblCellMar>
        </w:tblPrEx>
        <w:trPr>
          <w:trHeight w:val="25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3F78F25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775" w:type="dxa"/>
            <w:tcBorders>
              <w:top w:val="nil"/>
              <w:left w:val="nil"/>
              <w:bottom w:val="single" w:color="auto" w:sz="4" w:space="0"/>
              <w:right w:val="single" w:color="auto" w:sz="4" w:space="0"/>
            </w:tcBorders>
            <w:shd w:val="clear" w:color="auto" w:fill="auto"/>
            <w:vAlign w:val="center"/>
          </w:tcPr>
          <w:p w14:paraId="4F3F3E9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铝板</w:t>
            </w:r>
          </w:p>
        </w:tc>
        <w:tc>
          <w:tcPr>
            <w:tcW w:w="4602" w:type="dxa"/>
            <w:tcBorders>
              <w:top w:val="nil"/>
              <w:left w:val="nil"/>
              <w:bottom w:val="single" w:color="auto" w:sz="4" w:space="0"/>
              <w:right w:val="single" w:color="auto" w:sz="4" w:space="0"/>
            </w:tcBorders>
            <w:shd w:val="clear" w:color="auto" w:fill="auto"/>
            <w:vAlign w:val="center"/>
          </w:tcPr>
          <w:p w14:paraId="6149B51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华西村、荣事达、扬子、蓝天七色、吉祥</w:t>
            </w:r>
          </w:p>
        </w:tc>
      </w:tr>
      <w:tr w14:paraId="4273E077">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69E70A7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775" w:type="dxa"/>
            <w:tcBorders>
              <w:top w:val="nil"/>
              <w:left w:val="nil"/>
              <w:bottom w:val="single" w:color="auto" w:sz="4" w:space="0"/>
              <w:right w:val="single" w:color="auto" w:sz="4" w:space="0"/>
            </w:tcBorders>
            <w:shd w:val="clear" w:color="auto" w:fill="auto"/>
            <w:vAlign w:val="center"/>
          </w:tcPr>
          <w:p w14:paraId="4F42994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外墙真石漆</w:t>
            </w:r>
          </w:p>
        </w:tc>
        <w:tc>
          <w:tcPr>
            <w:tcW w:w="4602" w:type="dxa"/>
            <w:tcBorders>
              <w:top w:val="nil"/>
              <w:left w:val="nil"/>
              <w:bottom w:val="single" w:color="auto" w:sz="4" w:space="0"/>
              <w:right w:val="single" w:color="auto" w:sz="4" w:space="0"/>
            </w:tcBorders>
            <w:shd w:val="clear" w:color="auto" w:fill="auto"/>
            <w:vAlign w:val="center"/>
          </w:tcPr>
          <w:p w14:paraId="7FC6B62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多乐士、常州久诺、安徽本雅明</w:t>
            </w:r>
          </w:p>
        </w:tc>
      </w:tr>
      <w:tr w14:paraId="5D9908B4">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5ADF18B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775" w:type="dxa"/>
            <w:tcBorders>
              <w:top w:val="nil"/>
              <w:left w:val="nil"/>
              <w:bottom w:val="single" w:color="auto" w:sz="4" w:space="0"/>
              <w:right w:val="single" w:color="auto" w:sz="4" w:space="0"/>
            </w:tcBorders>
            <w:shd w:val="clear" w:color="auto" w:fill="auto"/>
            <w:vAlign w:val="center"/>
          </w:tcPr>
          <w:p w14:paraId="025F204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门窗-铝合金型材</w:t>
            </w:r>
          </w:p>
        </w:tc>
        <w:tc>
          <w:tcPr>
            <w:tcW w:w="4602" w:type="dxa"/>
            <w:tcBorders>
              <w:top w:val="nil"/>
              <w:left w:val="nil"/>
              <w:bottom w:val="single" w:color="auto" w:sz="4" w:space="0"/>
              <w:right w:val="single" w:color="auto" w:sz="4" w:space="0"/>
            </w:tcBorders>
            <w:shd w:val="clear" w:color="auto" w:fill="auto"/>
            <w:vAlign w:val="center"/>
          </w:tcPr>
          <w:p w14:paraId="2D14556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凤铝、坚美、伟业、南山、徽铝</w:t>
            </w:r>
          </w:p>
        </w:tc>
      </w:tr>
      <w:tr w14:paraId="2CC8A894">
        <w:tblPrEx>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27987FB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775" w:type="dxa"/>
            <w:tcBorders>
              <w:top w:val="nil"/>
              <w:left w:val="nil"/>
              <w:bottom w:val="single" w:color="auto" w:sz="4" w:space="0"/>
              <w:right w:val="single" w:color="auto" w:sz="4" w:space="0"/>
            </w:tcBorders>
            <w:shd w:val="clear" w:color="auto" w:fill="auto"/>
            <w:vAlign w:val="center"/>
          </w:tcPr>
          <w:p w14:paraId="36ED187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门窗-玻璃</w:t>
            </w:r>
          </w:p>
        </w:tc>
        <w:tc>
          <w:tcPr>
            <w:tcW w:w="4602" w:type="dxa"/>
            <w:tcBorders>
              <w:top w:val="nil"/>
              <w:left w:val="nil"/>
              <w:bottom w:val="single" w:color="auto" w:sz="4" w:space="0"/>
              <w:right w:val="single" w:color="auto" w:sz="4" w:space="0"/>
            </w:tcBorders>
            <w:shd w:val="clear" w:color="auto" w:fill="auto"/>
            <w:vAlign w:val="center"/>
          </w:tcPr>
          <w:p w14:paraId="470841D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南玻、耀皮、福耀、华光</w:t>
            </w:r>
          </w:p>
        </w:tc>
      </w:tr>
      <w:tr w14:paraId="3F6D581A">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7850E47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775" w:type="dxa"/>
            <w:tcBorders>
              <w:top w:val="nil"/>
              <w:left w:val="nil"/>
              <w:bottom w:val="single" w:color="auto" w:sz="4" w:space="0"/>
              <w:right w:val="single" w:color="auto" w:sz="4" w:space="0"/>
            </w:tcBorders>
            <w:shd w:val="clear" w:color="auto" w:fill="auto"/>
            <w:vAlign w:val="center"/>
          </w:tcPr>
          <w:p w14:paraId="38B2304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乳胶漆</w:t>
            </w:r>
          </w:p>
        </w:tc>
        <w:tc>
          <w:tcPr>
            <w:tcW w:w="4602" w:type="dxa"/>
            <w:tcBorders>
              <w:top w:val="nil"/>
              <w:left w:val="nil"/>
              <w:bottom w:val="single" w:color="auto" w:sz="4" w:space="0"/>
              <w:right w:val="single" w:color="auto" w:sz="4" w:space="0"/>
            </w:tcBorders>
            <w:shd w:val="clear" w:color="auto" w:fill="auto"/>
            <w:vAlign w:val="center"/>
          </w:tcPr>
          <w:p w14:paraId="5E9E83A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多乐士、立邦、华润、三棵树</w:t>
            </w:r>
          </w:p>
        </w:tc>
      </w:tr>
      <w:tr w14:paraId="7CF98393">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469CB46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775" w:type="dxa"/>
            <w:tcBorders>
              <w:top w:val="nil"/>
              <w:left w:val="nil"/>
              <w:bottom w:val="single" w:color="auto" w:sz="4" w:space="0"/>
              <w:right w:val="single" w:color="auto" w:sz="4" w:space="0"/>
            </w:tcBorders>
            <w:shd w:val="clear" w:color="auto" w:fill="auto"/>
            <w:vAlign w:val="center"/>
          </w:tcPr>
          <w:p w14:paraId="49ECE8D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配电箱元器件</w:t>
            </w:r>
          </w:p>
        </w:tc>
        <w:tc>
          <w:tcPr>
            <w:tcW w:w="4602" w:type="dxa"/>
            <w:tcBorders>
              <w:top w:val="nil"/>
              <w:left w:val="nil"/>
              <w:bottom w:val="single" w:color="auto" w:sz="4" w:space="0"/>
              <w:right w:val="single" w:color="auto" w:sz="4" w:space="0"/>
            </w:tcBorders>
            <w:shd w:val="clear" w:color="auto" w:fill="auto"/>
            <w:vAlign w:val="center"/>
          </w:tcPr>
          <w:p w14:paraId="08EE138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施耐德、ABB、西门子</w:t>
            </w:r>
          </w:p>
        </w:tc>
      </w:tr>
      <w:tr w14:paraId="67F32759">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09653AE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775" w:type="dxa"/>
            <w:tcBorders>
              <w:top w:val="nil"/>
              <w:left w:val="nil"/>
              <w:bottom w:val="single" w:color="auto" w:sz="4" w:space="0"/>
              <w:right w:val="single" w:color="auto" w:sz="4" w:space="0"/>
            </w:tcBorders>
            <w:shd w:val="clear" w:color="auto" w:fill="auto"/>
            <w:noWrap/>
            <w:vAlign w:val="center"/>
          </w:tcPr>
          <w:p w14:paraId="7260351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洁具</w:t>
            </w:r>
          </w:p>
        </w:tc>
        <w:tc>
          <w:tcPr>
            <w:tcW w:w="4602" w:type="dxa"/>
            <w:tcBorders>
              <w:top w:val="nil"/>
              <w:left w:val="nil"/>
              <w:bottom w:val="single" w:color="auto" w:sz="4" w:space="0"/>
              <w:right w:val="single" w:color="auto" w:sz="4" w:space="0"/>
            </w:tcBorders>
            <w:shd w:val="clear" w:color="auto" w:fill="auto"/>
            <w:vAlign w:val="center"/>
          </w:tcPr>
          <w:p w14:paraId="3512999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箭牌、惠达、恒洁、法恩莎</w:t>
            </w:r>
          </w:p>
        </w:tc>
      </w:tr>
      <w:tr w14:paraId="285CCB6D">
        <w:tblPrEx>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102B76B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2775" w:type="dxa"/>
            <w:tcBorders>
              <w:top w:val="nil"/>
              <w:left w:val="nil"/>
              <w:bottom w:val="single" w:color="auto" w:sz="4" w:space="0"/>
              <w:right w:val="single" w:color="auto" w:sz="4" w:space="0"/>
            </w:tcBorders>
            <w:shd w:val="clear" w:color="auto" w:fill="auto"/>
            <w:noWrap/>
            <w:vAlign w:val="center"/>
          </w:tcPr>
          <w:p w14:paraId="59569EC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电管、线盒</w:t>
            </w:r>
          </w:p>
        </w:tc>
        <w:tc>
          <w:tcPr>
            <w:tcW w:w="4602" w:type="dxa"/>
            <w:tcBorders>
              <w:top w:val="nil"/>
              <w:left w:val="nil"/>
              <w:bottom w:val="single" w:color="auto" w:sz="4" w:space="0"/>
              <w:right w:val="single" w:color="auto" w:sz="4" w:space="0"/>
            </w:tcBorders>
            <w:shd w:val="clear" w:color="auto" w:fill="auto"/>
            <w:vAlign w:val="center"/>
          </w:tcPr>
          <w:p w14:paraId="712C3F4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日丰、联塑、中财、伟星</w:t>
            </w:r>
          </w:p>
        </w:tc>
      </w:tr>
      <w:tr w14:paraId="2E93F6E9">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2D49A74C">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2775" w:type="dxa"/>
            <w:tcBorders>
              <w:top w:val="nil"/>
              <w:left w:val="nil"/>
              <w:bottom w:val="single" w:color="auto" w:sz="4" w:space="0"/>
              <w:right w:val="single" w:color="auto" w:sz="4" w:space="0"/>
            </w:tcBorders>
            <w:shd w:val="clear" w:color="auto" w:fill="auto"/>
            <w:vAlign w:val="center"/>
          </w:tcPr>
          <w:p w14:paraId="071412C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灯具</w:t>
            </w:r>
          </w:p>
        </w:tc>
        <w:tc>
          <w:tcPr>
            <w:tcW w:w="4602" w:type="dxa"/>
            <w:tcBorders>
              <w:top w:val="nil"/>
              <w:left w:val="nil"/>
              <w:bottom w:val="single" w:color="auto" w:sz="4" w:space="0"/>
              <w:right w:val="single" w:color="auto" w:sz="4" w:space="0"/>
            </w:tcBorders>
            <w:shd w:val="clear" w:color="auto" w:fill="auto"/>
            <w:vAlign w:val="center"/>
          </w:tcPr>
          <w:p w14:paraId="4F349CC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飞利浦、欧普、阳光、佛山FSL</w:t>
            </w:r>
          </w:p>
        </w:tc>
      </w:tr>
      <w:tr w14:paraId="1B62788A">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7BDC2D2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2775" w:type="dxa"/>
            <w:tcBorders>
              <w:top w:val="nil"/>
              <w:left w:val="nil"/>
              <w:bottom w:val="single" w:color="auto" w:sz="4" w:space="0"/>
              <w:right w:val="single" w:color="auto" w:sz="4" w:space="0"/>
            </w:tcBorders>
            <w:shd w:val="clear" w:color="auto" w:fill="auto"/>
            <w:vAlign w:val="center"/>
          </w:tcPr>
          <w:p w14:paraId="1D0A986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开关、插座</w:t>
            </w:r>
          </w:p>
        </w:tc>
        <w:tc>
          <w:tcPr>
            <w:tcW w:w="4602" w:type="dxa"/>
            <w:tcBorders>
              <w:top w:val="nil"/>
              <w:left w:val="nil"/>
              <w:bottom w:val="single" w:color="auto" w:sz="4" w:space="0"/>
              <w:right w:val="single" w:color="auto" w:sz="4" w:space="0"/>
            </w:tcBorders>
            <w:shd w:val="clear" w:color="auto" w:fill="auto"/>
            <w:vAlign w:val="center"/>
          </w:tcPr>
          <w:p w14:paraId="0FF9748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TCL、公牛、正泰、鸿雁</w:t>
            </w:r>
          </w:p>
        </w:tc>
      </w:tr>
      <w:tr w14:paraId="5C88ED89">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53EDF9B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2775" w:type="dxa"/>
            <w:tcBorders>
              <w:top w:val="nil"/>
              <w:left w:val="nil"/>
              <w:bottom w:val="single" w:color="auto" w:sz="4" w:space="0"/>
              <w:right w:val="single" w:color="auto" w:sz="4" w:space="0"/>
            </w:tcBorders>
            <w:shd w:val="clear" w:color="auto" w:fill="auto"/>
            <w:noWrap/>
            <w:vAlign w:val="center"/>
          </w:tcPr>
          <w:p w14:paraId="6EAEBA2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石膏板</w:t>
            </w:r>
          </w:p>
        </w:tc>
        <w:tc>
          <w:tcPr>
            <w:tcW w:w="4602" w:type="dxa"/>
            <w:tcBorders>
              <w:top w:val="nil"/>
              <w:left w:val="nil"/>
              <w:bottom w:val="single" w:color="auto" w:sz="4" w:space="0"/>
              <w:right w:val="single" w:color="auto" w:sz="4" w:space="0"/>
            </w:tcBorders>
            <w:shd w:val="clear" w:color="auto" w:fill="auto"/>
            <w:vAlign w:val="center"/>
          </w:tcPr>
          <w:p w14:paraId="6A3A670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飞利浦、欧普、佛山FSL、三雄极光</w:t>
            </w:r>
          </w:p>
        </w:tc>
      </w:tr>
      <w:tr w14:paraId="12160D50">
        <w:tblPrEx>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4AE79A1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2775" w:type="dxa"/>
            <w:tcBorders>
              <w:top w:val="nil"/>
              <w:left w:val="nil"/>
              <w:bottom w:val="single" w:color="auto" w:sz="4" w:space="0"/>
              <w:right w:val="single" w:color="auto" w:sz="4" w:space="0"/>
            </w:tcBorders>
            <w:shd w:val="clear" w:color="auto" w:fill="auto"/>
            <w:vAlign w:val="center"/>
          </w:tcPr>
          <w:p w14:paraId="6C25AEA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网线</w:t>
            </w:r>
          </w:p>
        </w:tc>
        <w:tc>
          <w:tcPr>
            <w:tcW w:w="4602" w:type="dxa"/>
            <w:tcBorders>
              <w:top w:val="nil"/>
              <w:left w:val="nil"/>
              <w:bottom w:val="single" w:color="auto" w:sz="4" w:space="0"/>
              <w:right w:val="single" w:color="auto" w:sz="4" w:space="0"/>
            </w:tcBorders>
            <w:shd w:val="clear" w:color="auto" w:fill="auto"/>
            <w:vAlign w:val="center"/>
          </w:tcPr>
          <w:p w14:paraId="677BA52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安普、一舟、朗讯</w:t>
            </w:r>
          </w:p>
        </w:tc>
      </w:tr>
      <w:tr w14:paraId="27B2A544">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14563B0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775" w:type="dxa"/>
            <w:tcBorders>
              <w:top w:val="nil"/>
              <w:left w:val="nil"/>
              <w:bottom w:val="single" w:color="auto" w:sz="4" w:space="0"/>
              <w:right w:val="single" w:color="auto" w:sz="4" w:space="0"/>
            </w:tcBorders>
            <w:shd w:val="clear" w:color="auto" w:fill="auto"/>
            <w:noWrap/>
            <w:vAlign w:val="center"/>
          </w:tcPr>
          <w:p w14:paraId="7CCF296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给排水管</w:t>
            </w:r>
          </w:p>
        </w:tc>
        <w:tc>
          <w:tcPr>
            <w:tcW w:w="4602" w:type="dxa"/>
            <w:tcBorders>
              <w:top w:val="nil"/>
              <w:left w:val="nil"/>
              <w:bottom w:val="single" w:color="auto" w:sz="4" w:space="0"/>
              <w:right w:val="single" w:color="auto" w:sz="4" w:space="0"/>
            </w:tcBorders>
            <w:shd w:val="clear" w:color="auto" w:fill="auto"/>
            <w:noWrap/>
            <w:vAlign w:val="center"/>
          </w:tcPr>
          <w:p w14:paraId="302114A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联塑、中财、伟星、日丰</w:t>
            </w:r>
          </w:p>
        </w:tc>
      </w:tr>
      <w:tr w14:paraId="09D05673">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42487C7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775" w:type="dxa"/>
            <w:tcBorders>
              <w:top w:val="nil"/>
              <w:left w:val="nil"/>
              <w:bottom w:val="single" w:color="auto" w:sz="4" w:space="0"/>
              <w:right w:val="single" w:color="auto" w:sz="4" w:space="0"/>
            </w:tcBorders>
            <w:shd w:val="clear" w:color="auto" w:fill="auto"/>
            <w:vAlign w:val="center"/>
          </w:tcPr>
          <w:p w14:paraId="4F70093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线缆</w:t>
            </w:r>
          </w:p>
        </w:tc>
        <w:tc>
          <w:tcPr>
            <w:tcW w:w="4602" w:type="dxa"/>
            <w:tcBorders>
              <w:top w:val="nil"/>
              <w:left w:val="nil"/>
              <w:bottom w:val="single" w:color="auto" w:sz="4" w:space="0"/>
              <w:right w:val="single" w:color="auto" w:sz="4" w:space="0"/>
            </w:tcBorders>
            <w:shd w:val="clear" w:color="auto" w:fill="auto"/>
            <w:vAlign w:val="center"/>
          </w:tcPr>
          <w:p w14:paraId="7EF97E5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江南、远东、上上</w:t>
            </w:r>
          </w:p>
        </w:tc>
      </w:tr>
      <w:tr w14:paraId="2F305A5A">
        <w:tblPrEx>
          <w:shd w:val="clear" w:color="auto" w:fill="auto"/>
          <w:tblCellMar>
            <w:top w:w="0" w:type="dxa"/>
            <w:left w:w="108" w:type="dxa"/>
            <w:bottom w:w="0" w:type="dxa"/>
            <w:right w:w="108" w:type="dxa"/>
          </w:tblCellMar>
        </w:tblPrEx>
        <w:trPr>
          <w:trHeight w:val="315"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14:paraId="4A89AB2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2775" w:type="dxa"/>
            <w:tcBorders>
              <w:top w:val="nil"/>
              <w:left w:val="nil"/>
              <w:bottom w:val="single" w:color="auto" w:sz="4" w:space="0"/>
              <w:right w:val="single" w:color="auto" w:sz="4" w:space="0"/>
            </w:tcBorders>
            <w:shd w:val="clear" w:color="auto" w:fill="auto"/>
            <w:vAlign w:val="center"/>
          </w:tcPr>
          <w:p w14:paraId="5936945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木地板、木工板、板材</w:t>
            </w:r>
          </w:p>
        </w:tc>
        <w:tc>
          <w:tcPr>
            <w:tcW w:w="4602" w:type="dxa"/>
            <w:tcBorders>
              <w:top w:val="nil"/>
              <w:left w:val="nil"/>
              <w:bottom w:val="single" w:color="auto" w:sz="4" w:space="0"/>
              <w:right w:val="single" w:color="auto" w:sz="4" w:space="0"/>
            </w:tcBorders>
            <w:shd w:val="clear" w:color="auto" w:fill="auto"/>
            <w:vAlign w:val="center"/>
          </w:tcPr>
          <w:p w14:paraId="7CB19E5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圣象、兔宝宝、莫干山、菲林格尔、联丰</w:t>
            </w:r>
          </w:p>
        </w:tc>
      </w:tr>
    </w:tbl>
    <w:p w14:paraId="6499FB3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注：1、以上参考品牌及规格型号仅为参考并非强制要求，供应商可在响应文件内选用；如另选优于或相当于以上参考品牌及产品的，须作出说明。</w:t>
      </w:r>
    </w:p>
    <w:p w14:paraId="6B0E20E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采购人保留施工时根据实际需要调整部分材料的权利，实际施工过程中采购人及供应商双方就品牌选择如有争议冲突，以此表所列参考品牌为准。</w:t>
      </w:r>
    </w:p>
    <w:p w14:paraId="3646A51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投标人须提供承诺函：涉及到节能环保产品目录内的产品（防水材料（含卷材、涂膜）、乳胶漆、灯具、给排水管），须使用节能环保产品。</w:t>
      </w:r>
    </w:p>
    <w:p w14:paraId="22DC9946">
      <w:pPr>
        <w:pStyle w:val="3"/>
        <w:numPr>
          <w:ilvl w:val="0"/>
          <w:numId w:val="0"/>
        </w:numPr>
        <w:rPr>
          <w:rFonts w:hint="eastAsia" w:ascii="宋体" w:hAnsi="宋体" w:eastAsia="宋体" w:cs="宋体"/>
          <w:b/>
          <w:bCs/>
          <w:color w:val="auto"/>
          <w:kern w:val="2"/>
          <w:sz w:val="24"/>
          <w:szCs w:val="18"/>
          <w:highlight w:val="none"/>
          <w:lang w:val="en-US" w:eastAsia="zh-CN" w:bidi="ar-SA"/>
        </w:rPr>
      </w:pPr>
      <w:r>
        <w:rPr>
          <w:rFonts w:hint="eastAsia" w:ascii="宋体" w:hAnsi="宋体" w:eastAsia="宋体" w:cs="宋体"/>
          <w:b/>
          <w:bCs/>
          <w:color w:val="auto"/>
          <w:kern w:val="2"/>
          <w:sz w:val="24"/>
          <w:szCs w:val="18"/>
          <w:highlight w:val="none"/>
          <w:lang w:val="en-US" w:eastAsia="zh-CN" w:bidi="ar-SA"/>
        </w:rPr>
        <w:t>四、报价要求</w:t>
      </w:r>
    </w:p>
    <w:p w14:paraId="63DB090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1.本项目采用费率报价，报价不得超过100%，否则响应无效。</w:t>
      </w:r>
    </w:p>
    <w:p w14:paraId="163029B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(本项目所指费率即基于单个项目依据本项目结算依据计算得</w:t>
      </w:r>
      <w:r>
        <w:rPr>
          <w:rFonts w:hint="eastAsia" w:ascii="宋体" w:hAnsi="宋体" w:eastAsia="宋体" w:cs="宋体"/>
          <w:b w:val="0"/>
          <w:bCs w:val="0"/>
          <w:sz w:val="24"/>
          <w:szCs w:val="24"/>
        </w:rPr>
        <w:t>出工程竣工结算审计价格基础上的整体优惠率，如单个项目工程竣工结算审计价格为</w:t>
      </w:r>
      <w:r>
        <w:rPr>
          <w:rFonts w:hint="eastAsia" w:ascii="宋体" w:hAnsi="宋体" w:eastAsia="宋体" w:cs="宋体"/>
          <w:sz w:val="24"/>
          <w:szCs w:val="24"/>
        </w:rPr>
        <w:t>10万元，</w:t>
      </w:r>
      <w:r>
        <w:rPr>
          <w:rFonts w:hint="eastAsia" w:ascii="宋体" w:hAnsi="宋体" w:eastAsia="宋体" w:cs="宋体"/>
          <w:sz w:val="24"/>
          <w:szCs w:val="24"/>
          <w:lang w:val="en-US" w:eastAsia="zh-CN"/>
        </w:rPr>
        <w:t>中标</w:t>
      </w:r>
      <w:r>
        <w:rPr>
          <w:rFonts w:hint="eastAsia" w:ascii="宋体" w:hAnsi="宋体" w:eastAsia="宋体" w:cs="宋体"/>
          <w:sz w:val="24"/>
          <w:szCs w:val="24"/>
        </w:rPr>
        <w:t>供应商成交费率为85%，则该项目采购人应支付施工费用(结算价)为:10万元</w:t>
      </w:r>
      <w:r>
        <w:rPr>
          <w:rFonts w:hint="eastAsia" w:ascii="宋体" w:hAnsi="宋体" w:eastAsia="宋体" w:cs="宋体"/>
          <w:sz w:val="24"/>
          <w:szCs w:val="24"/>
          <w:lang w:val="en-US" w:eastAsia="zh-CN"/>
        </w:rPr>
        <w:t>*</w:t>
      </w:r>
      <w:r>
        <w:rPr>
          <w:rFonts w:hint="eastAsia" w:ascii="宋体" w:hAnsi="宋体" w:eastAsia="宋体" w:cs="宋体"/>
          <w:sz w:val="24"/>
          <w:szCs w:val="24"/>
        </w:rPr>
        <w:t>85%=8.5万元)</w:t>
      </w:r>
    </w:p>
    <w:p w14:paraId="1630AB4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成交费率不再根据项目及工程量的增减、取消、工期的调整而变动，成交供应商最终依据成交费率与采购人签订合同(合同暂定价为项目预算)，因项目及工程量的增减或取消造成预算总额降低风险，由成交供应商承担，采购人不承担成交供应商任何费用或支付成交供应商任何补偿。</w:t>
      </w:r>
    </w:p>
    <w:p w14:paraId="133F93C7">
      <w:pPr>
        <w:pStyle w:val="3"/>
        <w:numPr>
          <w:ilvl w:val="0"/>
          <w:numId w:val="0"/>
        </w:numPr>
        <w:rPr>
          <w:rFonts w:hint="eastAsia" w:ascii="宋体" w:hAnsi="宋体" w:eastAsia="宋体" w:cs="宋体"/>
          <w:b w:val="0"/>
          <w:bCs w:val="0"/>
          <w:color w:val="auto"/>
          <w:kern w:val="2"/>
          <w:sz w:val="24"/>
          <w:szCs w:val="18"/>
          <w:lang w:val="en-US" w:eastAsia="zh-CN" w:bidi="ar-SA"/>
        </w:rPr>
      </w:pPr>
      <w:r>
        <w:rPr>
          <w:rFonts w:hint="eastAsia" w:ascii="宋体" w:hAnsi="宋体" w:eastAsia="宋体" w:cs="宋体"/>
          <w:b/>
          <w:bCs/>
          <w:color w:val="auto"/>
          <w:kern w:val="2"/>
          <w:sz w:val="24"/>
          <w:szCs w:val="18"/>
          <w:lang w:val="en-US" w:eastAsia="zh-CN" w:bidi="ar-SA"/>
        </w:rPr>
        <w:t>五、验收标准\评估考核要求：</w:t>
      </w:r>
      <w:r>
        <w:rPr>
          <w:rFonts w:hint="eastAsia" w:ascii="宋体" w:hAnsi="宋体" w:eastAsia="宋体" w:cs="宋体"/>
          <w:b w:val="0"/>
          <w:bCs w:val="0"/>
          <w:color w:val="auto"/>
          <w:kern w:val="2"/>
          <w:sz w:val="24"/>
          <w:szCs w:val="18"/>
          <w:lang w:val="en-US" w:eastAsia="zh-CN" w:bidi="ar-SA"/>
        </w:rPr>
        <w:t>工程质量符合国家相关标准，工程质量等级：“合格”。</w:t>
      </w:r>
    </w:p>
    <w:p w14:paraId="27BA1FE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1.国家有无强制标准要求，如有，具体列出标准名称</w:t>
      </w:r>
    </w:p>
    <w:p w14:paraId="11F0F229">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《建筑装饰装修工程质量验收标准》         （GB 50210-2018）         </w:t>
      </w:r>
    </w:p>
    <w:p w14:paraId="5F4840BB">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《建筑工程施工质量验收统一标准》         （GB 50300-2013）         </w:t>
      </w:r>
    </w:p>
    <w:p w14:paraId="5AEE67AA">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《民用建筑工程室内环境污染控制规范》     （GB50325-2020）          </w:t>
      </w:r>
    </w:p>
    <w:p w14:paraId="5934B29D">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《建筑内部装修设计防火规范》             （GB50222-2017）          </w:t>
      </w:r>
    </w:p>
    <w:p w14:paraId="6D20B87A">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《建筑装饰装修工程质量验收标准》         （GB 50210-2018）          </w:t>
      </w:r>
    </w:p>
    <w:p w14:paraId="7B30A679">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《建筑内部装修防火施工及验收规范》       （GB 50354-2005）          </w:t>
      </w:r>
    </w:p>
    <w:p w14:paraId="664B470D">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《建筑给水排水及采暖工程质量验收规范》   （GB 50242-2002）          </w:t>
      </w:r>
    </w:p>
    <w:p w14:paraId="220B608D">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《建筑电气工程施工质量验收规范》         （GB 50303-2015）          </w:t>
      </w:r>
    </w:p>
    <w:p w14:paraId="292A3400">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《建筑与市政工程抗震通用规范》           （GB55002-2021）          </w:t>
      </w:r>
    </w:p>
    <w:p w14:paraId="4B6AA52A">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《木结构通用规范》                       （GB55005-2021）          </w:t>
      </w:r>
    </w:p>
    <w:p w14:paraId="5EA1E2F4">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《砌体结构通用规范》                     （GB55007-2021）          </w:t>
      </w:r>
    </w:p>
    <w:p w14:paraId="7142AE05">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《砌体结构工程施工质量验收规范》         （GB 50203-2011）         </w:t>
      </w:r>
    </w:p>
    <w:p w14:paraId="2BFCEC13">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《钢结构工程施工质量验收标准》           （GB 50205-2020）         </w:t>
      </w:r>
    </w:p>
    <w:p w14:paraId="7AB2E346">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《建筑地面工程施工质量验收规范》         （GB 50209-2010）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06F808B">
      <w:pPr>
        <w:spacing w:line="400" w:lineRule="exact"/>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住宅室内装饰装修管理办法</w:t>
      </w:r>
      <w:r>
        <w:rPr>
          <w:rFonts w:hint="eastAsia" w:ascii="宋体" w:hAnsi="宋体" w:eastAsia="宋体" w:cs="宋体"/>
          <w:sz w:val="24"/>
          <w:szCs w:val="24"/>
          <w:highlight w:val="none"/>
          <w:u w:val="single"/>
          <w:lang w:val="en-US" w:eastAsia="zh-CN"/>
        </w:rPr>
        <w:t xml:space="preserve"> 》      （中华人民共和国建设部令(第110号)）</w:t>
      </w:r>
    </w:p>
    <w:p w14:paraId="1E8CF694">
      <w:pPr>
        <w:spacing w:line="400" w:lineRule="exact"/>
        <w:ind w:firstLine="480" w:firstLineChars="2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《住房和城乡建设部关于进一步加强城市房屋室内装饰装修安全管理的通知》（</w:t>
      </w:r>
      <w:r>
        <w:rPr>
          <w:rFonts w:hint="eastAsia" w:ascii="宋体" w:hAnsi="宋体" w:eastAsia="宋体" w:cs="宋体"/>
          <w:sz w:val="24"/>
          <w:szCs w:val="24"/>
          <w:highlight w:val="none"/>
          <w:u w:val="single"/>
        </w:rPr>
        <w:t>建办〔2023〕29号</w:t>
      </w:r>
      <w:r>
        <w:rPr>
          <w:rFonts w:hint="eastAsia" w:ascii="宋体" w:hAnsi="宋体" w:eastAsia="宋体" w:cs="宋体"/>
          <w:sz w:val="24"/>
          <w:szCs w:val="24"/>
          <w:highlight w:val="none"/>
          <w:u w:val="single"/>
          <w:lang w:val="en-US" w:eastAsia="zh-CN"/>
        </w:rPr>
        <w:t>）</w:t>
      </w:r>
    </w:p>
    <w:p w14:paraId="6261B6DF">
      <w:r>
        <w:rPr>
          <w:rFonts w:hint="eastAsia" w:ascii="Calibri" w:hAnsi="Calibri" w:eastAsia="宋体" w:cs="宋体"/>
          <w:bCs/>
          <w:kern w:val="0"/>
          <w:sz w:val="24"/>
          <w:szCs w:val="22"/>
          <w:highlight w:val="none"/>
          <w:lang w:eastAsia="zh-CN" w:bidi="ar"/>
        </w:rPr>
        <w:t>上述标准、规范及规程仅是本工程的最基本依据，并未包括实施中所涉及到的所有标准、规范及规程，具体详见图纸设计说明，上述标准如有最新版本，以最新版本为准。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401BC"/>
    <w:multiLevelType w:val="singleLevel"/>
    <w:tmpl w:val="502401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A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amp;L"/>
    <w:basedOn w:val="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2025-05-28T08:12:32Z</dcterms:created>
  <dc:creator>admin</dc:creator>
  <cp:lastModifiedBy>王婧</cp:lastModifiedBy>
  <dcterms:modified xsi:type="dcterms:W3CDTF">2025-05-28T08:12:59Z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eyJoZGlkIjoiOGE4YmZlNDdlMDMyMGIyYjkwZGM2YWY1OTY0ZjIxZDMiLCJ1c2VySWQiOiIxNTE4NTIyNTc5In0=</vt:lpwstr>
  </property>
  <property fmtid="{D5CDD505-2E9C-101B-9397-08002B2CF9AE}" pid="4" name="ICV">
    <vt:lpwstr>BD7F95B5C9004E7FBC00F23E9A543D31_12</vt:lpwstr>
  </property>
</Properties>
</file>