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22ED4">
      <w:pPr>
        <w:spacing w:line="360" w:lineRule="auto"/>
        <w:jc w:val="center"/>
        <w:outlineLvl w:val="1"/>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采购需求</w:t>
      </w:r>
    </w:p>
    <w:p w14:paraId="448CB135">
      <w:pPr>
        <w:spacing w:line="360" w:lineRule="auto"/>
        <w:rPr>
          <w:rFonts w:ascii="宋体" w:hAnsi="宋体" w:eastAsia="宋体" w:cs="宋体"/>
          <w:b/>
          <w:sz w:val="24"/>
        </w:rPr>
      </w:pPr>
      <w:r>
        <w:rPr>
          <w:rFonts w:hint="eastAsia" w:ascii="宋体" w:hAnsi="宋体" w:eastAsia="宋体" w:cs="宋体"/>
          <w:b/>
          <w:sz w:val="24"/>
        </w:rPr>
        <w:t>前注：</w:t>
      </w:r>
    </w:p>
    <w:p w14:paraId="771D5C3D">
      <w:pPr>
        <w:spacing w:line="360" w:lineRule="auto"/>
        <w:ind w:firstLine="435"/>
        <w:rPr>
          <w:rFonts w:ascii="宋体" w:hAnsi="宋体" w:eastAsia="宋体" w:cs="宋体"/>
          <w:sz w:val="24"/>
          <w:szCs w:val="18"/>
        </w:rPr>
      </w:pPr>
      <w:r>
        <w:rPr>
          <w:rFonts w:hint="eastAsia" w:ascii="宋体" w:hAnsi="宋体" w:eastAsia="宋体" w:cs="宋体"/>
          <w:sz w:val="24"/>
        </w:rPr>
        <w:t>本采购需求中提出的服务方案仅为参考，如无明确限制，投标人可以进行优化，提供满足采购人实际需要的更优（或者性能实质上不低于的）服务方案，且此方案须经评标委员会评审认可。</w:t>
      </w:r>
    </w:p>
    <w:p w14:paraId="2E727C0A">
      <w:pPr>
        <w:spacing w:line="360" w:lineRule="auto"/>
        <w:ind w:firstLine="437"/>
        <w:rPr>
          <w:rFonts w:ascii="宋体" w:hAnsi="宋体" w:eastAsia="宋体" w:cs="宋体"/>
          <w:b/>
          <w:sz w:val="24"/>
          <w:szCs w:val="18"/>
        </w:rPr>
      </w:pPr>
      <w:r>
        <w:rPr>
          <w:rFonts w:hint="eastAsia" w:ascii="宋体" w:hAnsi="宋体" w:eastAsia="宋体" w:cs="宋体"/>
          <w:b/>
          <w:sz w:val="24"/>
          <w:szCs w:val="18"/>
        </w:rPr>
        <w:t>一、采购需求前附表</w:t>
      </w:r>
    </w:p>
    <w:tbl>
      <w:tblPr>
        <w:tblStyle w:val="3"/>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2213"/>
        <w:gridCol w:w="5977"/>
      </w:tblGrid>
      <w:tr w14:paraId="7326B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14:paraId="08C00037">
            <w:pPr>
              <w:pStyle w:val="5"/>
              <w:pBdr>
                <w:bottom w:val="none" w:color="auto" w:sz="0" w:space="0"/>
              </w:pBdr>
              <w:tabs>
                <w:tab w:val="clear" w:pos="4153"/>
                <w:tab w:val="clear" w:pos="8306"/>
              </w:tabs>
              <w:adjustRightInd/>
              <w:spacing w:line="240" w:lineRule="auto"/>
              <w:textAlignment w:val="auto"/>
              <w:rPr>
                <w:rFonts w:ascii="宋体" w:hAnsi="宋体" w:eastAsia="宋体" w:cs="宋体"/>
                <w:b/>
                <w:kern w:val="2"/>
              </w:rPr>
            </w:pPr>
            <w:r>
              <w:rPr>
                <w:rFonts w:hint="eastAsia" w:ascii="宋体" w:hAnsi="宋体" w:eastAsia="宋体" w:cs="宋体"/>
                <w:b/>
                <w:kern w:val="2"/>
              </w:rPr>
              <w:t>序号</w:t>
            </w:r>
          </w:p>
        </w:tc>
        <w:tc>
          <w:tcPr>
            <w:tcW w:w="2213" w:type="dxa"/>
            <w:vAlign w:val="center"/>
          </w:tcPr>
          <w:p w14:paraId="71918F88">
            <w:pPr>
              <w:pStyle w:val="6"/>
              <w:widowControl w:val="0"/>
              <w:spacing w:before="0" w:beforeAutospacing="0" w:after="0" w:afterAutospacing="0" w:line="360" w:lineRule="auto"/>
              <w:rPr>
                <w:rFonts w:ascii="宋体" w:hAnsi="宋体" w:eastAsia="宋体" w:cs="宋体"/>
                <w:bCs w:val="0"/>
                <w:sz w:val="24"/>
              </w:rPr>
            </w:pPr>
            <w:r>
              <w:rPr>
                <w:rFonts w:hint="eastAsia" w:ascii="宋体" w:hAnsi="宋体" w:eastAsia="宋体" w:cs="宋体"/>
                <w:bCs w:val="0"/>
                <w:sz w:val="24"/>
              </w:rPr>
              <w:t>条款名称</w:t>
            </w:r>
          </w:p>
        </w:tc>
        <w:tc>
          <w:tcPr>
            <w:tcW w:w="5977" w:type="dxa"/>
            <w:vAlign w:val="center"/>
          </w:tcPr>
          <w:p w14:paraId="55575D23">
            <w:pPr>
              <w:pStyle w:val="6"/>
              <w:widowControl w:val="0"/>
              <w:spacing w:before="0" w:beforeAutospacing="0" w:after="0" w:afterAutospacing="0" w:line="360" w:lineRule="auto"/>
              <w:rPr>
                <w:rFonts w:ascii="宋体" w:hAnsi="宋体" w:eastAsia="宋体" w:cs="宋体"/>
                <w:bCs w:val="0"/>
                <w:sz w:val="24"/>
              </w:rPr>
            </w:pPr>
            <w:r>
              <w:rPr>
                <w:rFonts w:hint="eastAsia" w:ascii="宋体" w:hAnsi="宋体" w:eastAsia="宋体" w:cs="宋体"/>
                <w:bCs w:val="0"/>
                <w:sz w:val="24"/>
              </w:rPr>
              <w:t>内容、说明与要求</w:t>
            </w:r>
          </w:p>
        </w:tc>
      </w:tr>
      <w:tr w14:paraId="702C7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14:paraId="08BD3D1F">
            <w:pPr>
              <w:pStyle w:val="5"/>
              <w:pBdr>
                <w:bottom w:val="none" w:color="auto" w:sz="0" w:space="0"/>
              </w:pBdr>
              <w:tabs>
                <w:tab w:val="clear" w:pos="4153"/>
                <w:tab w:val="clear" w:pos="8306"/>
              </w:tabs>
              <w:adjustRightInd/>
              <w:spacing w:line="240" w:lineRule="auto"/>
              <w:textAlignment w:val="auto"/>
              <w:rPr>
                <w:rFonts w:ascii="宋体" w:hAnsi="宋体" w:eastAsia="宋体" w:cs="宋体"/>
                <w:bCs/>
                <w:kern w:val="2"/>
              </w:rPr>
            </w:pPr>
            <w:r>
              <w:rPr>
                <w:rFonts w:hint="eastAsia" w:ascii="宋体" w:hAnsi="宋体" w:eastAsia="宋体" w:cs="宋体"/>
                <w:bCs/>
                <w:kern w:val="2"/>
              </w:rPr>
              <w:t>1</w:t>
            </w:r>
          </w:p>
        </w:tc>
        <w:tc>
          <w:tcPr>
            <w:tcW w:w="2213" w:type="dxa"/>
            <w:vAlign w:val="center"/>
          </w:tcPr>
          <w:p w14:paraId="6BA72588">
            <w:pPr>
              <w:pStyle w:val="6"/>
              <w:widowControl w:val="0"/>
              <w:spacing w:before="0" w:beforeAutospacing="0" w:after="0" w:afterAutospacing="0" w:line="360" w:lineRule="auto"/>
              <w:rPr>
                <w:rFonts w:ascii="宋体" w:hAnsi="宋体" w:eastAsia="宋体" w:cs="宋体"/>
                <w:b w:val="0"/>
                <w:sz w:val="24"/>
                <w:highlight w:val="none"/>
              </w:rPr>
            </w:pPr>
            <w:r>
              <w:rPr>
                <w:rFonts w:hint="eastAsia" w:ascii="宋体" w:hAnsi="宋体" w:eastAsia="宋体" w:cs="宋体"/>
                <w:b w:val="0"/>
                <w:sz w:val="24"/>
                <w:highlight w:val="none"/>
              </w:rPr>
              <w:t>付款方式</w:t>
            </w:r>
          </w:p>
        </w:tc>
        <w:tc>
          <w:tcPr>
            <w:tcW w:w="5977" w:type="dxa"/>
            <w:vAlign w:val="center"/>
          </w:tcPr>
          <w:p w14:paraId="53DDB813">
            <w:pPr>
              <w:pStyle w:val="6"/>
              <w:widowControl w:val="0"/>
              <w:spacing w:before="0" w:beforeAutospacing="0" w:after="0" w:afterAutospacing="0" w:line="360" w:lineRule="auto"/>
              <w:jc w:val="both"/>
              <w:rPr>
                <w:rFonts w:ascii="宋体" w:hAnsi="宋体" w:eastAsia="宋体" w:cs="宋体"/>
                <w:b w:val="0"/>
                <w:sz w:val="24"/>
                <w:highlight w:val="none"/>
                <w:u w:val="single"/>
              </w:rPr>
            </w:pPr>
            <w:r>
              <w:rPr>
                <w:rFonts w:hint="eastAsia" w:ascii="宋体" w:hAnsi="宋体" w:eastAsia="宋体" w:cs="宋体"/>
                <w:b w:val="0"/>
                <w:sz w:val="24"/>
                <w:highlight w:val="none"/>
                <w:u w:val="single"/>
              </w:rPr>
              <w:t xml:space="preserve"> </w:t>
            </w:r>
            <w:r>
              <w:rPr>
                <w:rFonts w:hint="eastAsia" w:ascii="宋体" w:hAnsi="宋体" w:eastAsia="宋体" w:cs="宋体"/>
                <w:b w:val="0"/>
                <w:bCs w:val="0"/>
                <w:sz w:val="24"/>
                <w:highlight w:val="none"/>
                <w:u w:val="single"/>
              </w:rPr>
              <w:t>合同签订后</w:t>
            </w:r>
            <w:r>
              <w:rPr>
                <w:rFonts w:hint="eastAsia" w:ascii="宋体" w:hAnsi="宋体" w:eastAsia="宋体" w:cs="宋体"/>
                <w:b w:val="0"/>
                <w:bCs w:val="0"/>
                <w:sz w:val="24"/>
                <w:highlight w:val="none"/>
                <w:u w:val="single"/>
                <w:lang w:val="en-US" w:eastAsia="zh-CN"/>
              </w:rPr>
              <w:t>每4个月考核合格后</w:t>
            </w:r>
            <w:r>
              <w:rPr>
                <w:rFonts w:hint="eastAsia" w:ascii="宋体" w:hAnsi="宋体" w:eastAsia="宋体" w:cs="宋体"/>
                <w:b w:val="0"/>
                <w:bCs w:val="0"/>
                <w:sz w:val="24"/>
                <w:highlight w:val="none"/>
                <w:u w:val="single"/>
              </w:rPr>
              <w:t>支付</w:t>
            </w:r>
            <w:r>
              <w:rPr>
                <w:rFonts w:hint="eastAsia" w:ascii="宋体" w:hAnsi="宋体" w:eastAsia="宋体" w:cs="宋体"/>
                <w:b w:val="0"/>
                <w:bCs w:val="0"/>
                <w:sz w:val="24"/>
                <w:highlight w:val="none"/>
                <w:u w:val="single"/>
                <w:lang w:val="en-US" w:eastAsia="zh-CN"/>
              </w:rPr>
              <w:t>相应考核周期的服务费，分三次支付</w:t>
            </w:r>
            <w:r>
              <w:rPr>
                <w:rFonts w:hint="eastAsia" w:ascii="宋体" w:hAnsi="宋体" w:eastAsia="宋体" w:cs="宋体"/>
                <w:b w:val="0"/>
                <w:bCs w:val="0"/>
                <w:sz w:val="24"/>
                <w:highlight w:val="none"/>
                <w:u w:val="single"/>
              </w:rPr>
              <w:t xml:space="preserve"> </w:t>
            </w:r>
          </w:p>
        </w:tc>
      </w:tr>
      <w:tr w14:paraId="5201A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14:paraId="3116095B">
            <w:pPr>
              <w:pStyle w:val="5"/>
              <w:pBdr>
                <w:bottom w:val="none" w:color="auto" w:sz="0" w:space="0"/>
              </w:pBdr>
              <w:tabs>
                <w:tab w:val="clear" w:pos="4153"/>
                <w:tab w:val="clear" w:pos="8306"/>
              </w:tabs>
              <w:adjustRightInd/>
              <w:spacing w:line="240" w:lineRule="auto"/>
              <w:textAlignment w:val="auto"/>
              <w:rPr>
                <w:rFonts w:ascii="宋体" w:hAnsi="宋体" w:eastAsia="宋体" w:cs="宋体"/>
                <w:bCs/>
                <w:kern w:val="2"/>
              </w:rPr>
            </w:pPr>
            <w:r>
              <w:rPr>
                <w:rFonts w:hint="eastAsia" w:ascii="宋体" w:hAnsi="宋体" w:eastAsia="宋体" w:cs="宋体"/>
                <w:bCs/>
                <w:kern w:val="2"/>
              </w:rPr>
              <w:t>2</w:t>
            </w:r>
          </w:p>
        </w:tc>
        <w:tc>
          <w:tcPr>
            <w:tcW w:w="2213" w:type="dxa"/>
            <w:vAlign w:val="center"/>
          </w:tcPr>
          <w:p w14:paraId="142AE924">
            <w:pPr>
              <w:pStyle w:val="6"/>
              <w:widowControl w:val="0"/>
              <w:spacing w:before="0" w:beforeAutospacing="0" w:after="0" w:afterAutospacing="0" w:line="360" w:lineRule="auto"/>
              <w:rPr>
                <w:rFonts w:ascii="宋体" w:hAnsi="宋体" w:eastAsia="宋体" w:cs="宋体"/>
                <w:b w:val="0"/>
                <w:sz w:val="24"/>
              </w:rPr>
            </w:pPr>
            <w:r>
              <w:rPr>
                <w:rFonts w:hint="eastAsia" w:ascii="宋体" w:hAnsi="宋体" w:eastAsia="宋体" w:cs="宋体"/>
                <w:b w:val="0"/>
                <w:sz w:val="24"/>
              </w:rPr>
              <w:t>服务地点</w:t>
            </w:r>
          </w:p>
        </w:tc>
        <w:tc>
          <w:tcPr>
            <w:tcW w:w="5977" w:type="dxa"/>
            <w:vAlign w:val="center"/>
          </w:tcPr>
          <w:p w14:paraId="28715DDE">
            <w:pPr>
              <w:pStyle w:val="6"/>
              <w:widowControl w:val="0"/>
              <w:spacing w:before="0" w:beforeAutospacing="0" w:after="0" w:afterAutospacing="0" w:line="360" w:lineRule="auto"/>
              <w:jc w:val="both"/>
              <w:rPr>
                <w:rFonts w:ascii="宋体" w:hAnsi="宋体" w:eastAsia="宋体" w:cs="宋体"/>
                <w:b w:val="0"/>
                <w:sz w:val="24"/>
              </w:rPr>
            </w:pPr>
            <w:r>
              <w:rPr>
                <w:rFonts w:hint="eastAsia" w:ascii="宋体" w:hAnsi="宋体" w:eastAsia="宋体" w:cs="宋体"/>
                <w:b w:val="0"/>
                <w:sz w:val="24"/>
                <w:u w:val="single"/>
              </w:rPr>
              <w:t xml:space="preserve"> 采购人指定地点      </w:t>
            </w:r>
          </w:p>
        </w:tc>
      </w:tr>
      <w:tr w14:paraId="4E676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14:paraId="54970984">
            <w:pPr>
              <w:pStyle w:val="5"/>
              <w:pBdr>
                <w:bottom w:val="none" w:color="auto" w:sz="0" w:space="0"/>
              </w:pBdr>
              <w:tabs>
                <w:tab w:val="clear" w:pos="4153"/>
                <w:tab w:val="clear" w:pos="8306"/>
              </w:tabs>
              <w:adjustRightInd/>
              <w:spacing w:line="240" w:lineRule="auto"/>
              <w:textAlignment w:val="auto"/>
              <w:rPr>
                <w:rFonts w:ascii="宋体" w:hAnsi="宋体" w:eastAsia="宋体" w:cs="宋体"/>
                <w:bCs/>
                <w:kern w:val="2"/>
              </w:rPr>
            </w:pPr>
            <w:r>
              <w:rPr>
                <w:rFonts w:hint="eastAsia" w:ascii="宋体" w:hAnsi="宋体" w:eastAsia="宋体" w:cs="宋体"/>
                <w:bCs/>
                <w:kern w:val="2"/>
              </w:rPr>
              <w:t>3</w:t>
            </w:r>
          </w:p>
        </w:tc>
        <w:tc>
          <w:tcPr>
            <w:tcW w:w="2213" w:type="dxa"/>
            <w:vAlign w:val="center"/>
          </w:tcPr>
          <w:p w14:paraId="01F65FAF">
            <w:pPr>
              <w:pStyle w:val="6"/>
              <w:widowControl w:val="0"/>
              <w:spacing w:before="0" w:beforeAutospacing="0" w:after="0" w:afterAutospacing="0" w:line="360" w:lineRule="auto"/>
              <w:rPr>
                <w:rFonts w:ascii="宋体" w:hAnsi="宋体" w:eastAsia="宋体" w:cs="宋体"/>
                <w:b w:val="0"/>
                <w:sz w:val="24"/>
                <w:highlight w:val="none"/>
              </w:rPr>
            </w:pPr>
            <w:r>
              <w:rPr>
                <w:rFonts w:hint="eastAsia" w:ascii="宋体" w:hAnsi="宋体" w:eastAsia="宋体" w:cs="宋体"/>
                <w:b w:val="0"/>
                <w:sz w:val="24"/>
                <w:highlight w:val="none"/>
              </w:rPr>
              <w:t>服务期限</w:t>
            </w:r>
          </w:p>
        </w:tc>
        <w:tc>
          <w:tcPr>
            <w:tcW w:w="5977" w:type="dxa"/>
            <w:vAlign w:val="center"/>
          </w:tcPr>
          <w:p w14:paraId="41B2733C">
            <w:pPr>
              <w:pStyle w:val="6"/>
              <w:widowControl w:val="0"/>
              <w:spacing w:before="0" w:beforeAutospacing="0" w:after="0" w:afterAutospacing="0" w:line="360" w:lineRule="auto"/>
              <w:jc w:val="both"/>
              <w:rPr>
                <w:rFonts w:ascii="宋体" w:hAnsi="宋体" w:eastAsia="宋体" w:cs="宋体"/>
                <w:b w:val="0"/>
                <w:sz w:val="24"/>
                <w:highlight w:val="none"/>
              </w:rPr>
            </w:pPr>
            <w:r>
              <w:rPr>
                <w:rFonts w:hint="eastAsia" w:ascii="宋体" w:hAnsi="宋体" w:eastAsia="宋体" w:cs="宋体"/>
                <w:b w:val="0"/>
                <w:sz w:val="24"/>
                <w:highlight w:val="none"/>
                <w:u w:val="single"/>
              </w:rPr>
              <w:t xml:space="preserve"> 202</w:t>
            </w:r>
            <w:r>
              <w:rPr>
                <w:rFonts w:hint="eastAsia" w:ascii="宋体" w:hAnsi="宋体" w:eastAsia="宋体" w:cs="宋体"/>
                <w:b w:val="0"/>
                <w:sz w:val="24"/>
                <w:highlight w:val="none"/>
                <w:u w:val="single"/>
                <w:lang w:val="en-US" w:eastAsia="zh-CN"/>
              </w:rPr>
              <w:t>5</w:t>
            </w:r>
            <w:r>
              <w:rPr>
                <w:rFonts w:hint="eastAsia" w:ascii="宋体" w:hAnsi="宋体" w:eastAsia="宋体" w:cs="宋体"/>
                <w:b w:val="0"/>
                <w:sz w:val="24"/>
                <w:highlight w:val="none"/>
                <w:u w:val="single"/>
              </w:rPr>
              <w:t>年9月1日-202</w:t>
            </w:r>
            <w:r>
              <w:rPr>
                <w:rFonts w:hint="eastAsia" w:ascii="宋体" w:hAnsi="宋体" w:eastAsia="宋体" w:cs="宋体"/>
                <w:b w:val="0"/>
                <w:sz w:val="24"/>
                <w:highlight w:val="none"/>
                <w:u w:val="single"/>
                <w:lang w:val="en-US" w:eastAsia="zh-CN"/>
              </w:rPr>
              <w:t>6</w:t>
            </w:r>
            <w:r>
              <w:rPr>
                <w:rFonts w:hint="eastAsia" w:ascii="宋体" w:hAnsi="宋体" w:eastAsia="宋体" w:cs="宋体"/>
                <w:b w:val="0"/>
                <w:sz w:val="24"/>
                <w:highlight w:val="none"/>
                <w:u w:val="single"/>
              </w:rPr>
              <w:t>年8月31日</w:t>
            </w:r>
          </w:p>
        </w:tc>
      </w:tr>
      <w:tr w14:paraId="15411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14:paraId="24661D00">
            <w:pPr>
              <w:pStyle w:val="5"/>
              <w:pBdr>
                <w:bottom w:val="none" w:color="auto" w:sz="0" w:space="0"/>
              </w:pBdr>
              <w:tabs>
                <w:tab w:val="clear" w:pos="4153"/>
                <w:tab w:val="clear" w:pos="8306"/>
              </w:tabs>
              <w:adjustRightInd/>
              <w:spacing w:line="240" w:lineRule="auto"/>
              <w:textAlignment w:val="auto"/>
              <w:rPr>
                <w:rFonts w:ascii="宋体" w:hAnsi="宋体" w:eastAsia="宋体" w:cs="宋体"/>
                <w:bCs/>
                <w:kern w:val="2"/>
              </w:rPr>
            </w:pPr>
            <w:r>
              <w:rPr>
                <w:rFonts w:hint="eastAsia" w:ascii="宋体" w:hAnsi="宋体" w:eastAsia="宋体" w:cs="宋体"/>
                <w:bCs/>
                <w:kern w:val="2"/>
              </w:rPr>
              <w:t>4</w:t>
            </w:r>
          </w:p>
        </w:tc>
        <w:tc>
          <w:tcPr>
            <w:tcW w:w="2213" w:type="dxa"/>
            <w:vAlign w:val="center"/>
          </w:tcPr>
          <w:p w14:paraId="01C07E6F">
            <w:pPr>
              <w:pStyle w:val="6"/>
              <w:widowControl w:val="0"/>
              <w:spacing w:before="0" w:beforeAutospacing="0" w:after="0" w:afterAutospacing="0" w:line="360" w:lineRule="auto"/>
              <w:rPr>
                <w:rFonts w:ascii="宋体" w:hAnsi="宋体" w:eastAsia="宋体" w:cs="宋体"/>
                <w:b w:val="0"/>
                <w:sz w:val="24"/>
              </w:rPr>
            </w:pPr>
            <w:r>
              <w:rPr>
                <w:rFonts w:hint="eastAsia" w:ascii="宋体" w:hAnsi="宋体" w:eastAsia="宋体" w:cs="宋体"/>
                <w:b w:val="0"/>
                <w:sz w:val="24"/>
              </w:rPr>
              <w:t>本项目采购标的所属行业</w:t>
            </w:r>
          </w:p>
        </w:tc>
        <w:tc>
          <w:tcPr>
            <w:tcW w:w="5977" w:type="dxa"/>
            <w:vAlign w:val="center"/>
          </w:tcPr>
          <w:p w14:paraId="6B219DC8">
            <w:pPr>
              <w:pStyle w:val="6"/>
              <w:widowControl w:val="0"/>
              <w:spacing w:before="0" w:beforeAutospacing="0" w:after="0" w:afterAutospacing="0" w:line="360" w:lineRule="auto"/>
              <w:jc w:val="both"/>
              <w:rPr>
                <w:rFonts w:hint="default" w:ascii="宋体" w:hAnsi="宋体" w:eastAsia="宋体" w:cs="宋体"/>
                <w:b w:val="0"/>
                <w:sz w:val="24"/>
                <w:lang w:val="en-US" w:eastAsia="zh-CN"/>
              </w:rPr>
            </w:pPr>
            <w:r>
              <w:rPr>
                <w:rFonts w:hint="eastAsia" w:ascii="宋体" w:hAnsi="宋体" w:eastAsia="宋体" w:cs="宋体"/>
                <w:b w:val="0"/>
                <w:sz w:val="24"/>
                <w:lang w:val="en-US" w:eastAsia="zh-CN"/>
              </w:rPr>
              <w:t xml:space="preserve"> 信息传输业</w:t>
            </w:r>
          </w:p>
        </w:tc>
      </w:tr>
    </w:tbl>
    <w:p w14:paraId="107DAC84">
      <w:pPr>
        <w:spacing w:line="360" w:lineRule="auto"/>
        <w:rPr>
          <w:rFonts w:ascii="宋体" w:hAnsi="宋体" w:eastAsia="宋体" w:cs="宋体"/>
          <w:b/>
          <w:sz w:val="24"/>
          <w:szCs w:val="18"/>
        </w:rPr>
      </w:pPr>
    </w:p>
    <w:p w14:paraId="0F0B2E27">
      <w:pPr>
        <w:numPr>
          <w:ilvl w:val="0"/>
          <w:numId w:val="1"/>
        </w:numPr>
        <w:spacing w:line="360" w:lineRule="auto"/>
        <w:ind w:firstLine="437"/>
        <w:rPr>
          <w:rFonts w:ascii="宋体" w:hAnsi="宋体" w:eastAsia="宋体" w:cs="宋体"/>
          <w:b/>
          <w:bCs/>
          <w:sz w:val="24"/>
          <w:szCs w:val="18"/>
        </w:rPr>
      </w:pPr>
      <w:r>
        <w:rPr>
          <w:rFonts w:hint="eastAsia" w:ascii="宋体" w:hAnsi="宋体" w:eastAsia="宋体" w:cs="宋体"/>
          <w:b/>
          <w:bCs/>
          <w:sz w:val="24"/>
          <w:szCs w:val="18"/>
        </w:rPr>
        <w:t>项目概况</w:t>
      </w:r>
    </w:p>
    <w:p w14:paraId="0077341E">
      <w:pPr>
        <w:spacing w:line="360" w:lineRule="auto"/>
        <w:ind w:firstLine="480" w:firstLineChars="200"/>
        <w:rPr>
          <w:rFonts w:ascii="宋体" w:hAnsi="宋体" w:eastAsia="宋体" w:cs="宋体"/>
          <w:sz w:val="24"/>
          <w:szCs w:val="18"/>
        </w:rPr>
      </w:pPr>
      <w:r>
        <w:rPr>
          <w:rFonts w:hint="eastAsia" w:ascii="宋体" w:hAnsi="宋体" w:eastAsia="宋体" w:cs="宋体"/>
          <w:sz w:val="24"/>
          <w:szCs w:val="18"/>
        </w:rPr>
        <w:t>中国教育和科研计算机网（以下简称CERNET）是由国家投资建设、教育部负责管理的国家级教育科研网，承担着高校教学、科研、网上招生录取、教育部视频会议和电子政务、国家下一代互联网研究等重大教育信息化应用项目，是中国教育信息化的基础平台。</w:t>
      </w:r>
    </w:p>
    <w:p w14:paraId="5AEE7D80">
      <w:pPr>
        <w:spacing w:line="360" w:lineRule="auto"/>
        <w:ind w:firstLine="480" w:firstLineChars="200"/>
        <w:rPr>
          <w:rFonts w:ascii="宋体" w:hAnsi="宋体" w:eastAsia="宋体" w:cs="宋体"/>
          <w:sz w:val="24"/>
          <w:szCs w:val="18"/>
        </w:rPr>
      </w:pPr>
      <w:r>
        <w:rPr>
          <w:rFonts w:hint="eastAsia" w:ascii="宋体" w:hAnsi="宋体" w:eastAsia="宋体" w:cs="宋体"/>
          <w:sz w:val="24"/>
          <w:szCs w:val="18"/>
        </w:rPr>
        <w:t>按照上级教育主管部门相关文件精神要求,接入并使用中国教育和科研计算机网可以促进学校信息化建设水平，规范学校域名使用，助力学校教学科研。</w:t>
      </w:r>
    </w:p>
    <w:p w14:paraId="768CB7D1">
      <w:pPr>
        <w:numPr>
          <w:ilvl w:val="0"/>
          <w:numId w:val="1"/>
        </w:numPr>
        <w:spacing w:line="360" w:lineRule="auto"/>
        <w:ind w:firstLine="437"/>
        <w:rPr>
          <w:rFonts w:ascii="宋体" w:hAnsi="宋体" w:eastAsia="宋体" w:cs="宋体"/>
          <w:b/>
          <w:bCs/>
          <w:sz w:val="24"/>
          <w:szCs w:val="18"/>
        </w:rPr>
      </w:pPr>
      <w:r>
        <w:rPr>
          <w:rFonts w:hint="eastAsia" w:ascii="宋体" w:hAnsi="宋体" w:eastAsia="宋体" w:cs="宋体"/>
          <w:b/>
          <w:bCs/>
          <w:sz w:val="24"/>
          <w:szCs w:val="18"/>
        </w:rPr>
        <w:t>服务需求</w:t>
      </w:r>
    </w:p>
    <w:p w14:paraId="42BF80F9">
      <w:pPr>
        <w:spacing w:line="360" w:lineRule="auto"/>
        <w:ind w:firstLine="437"/>
        <w:rPr>
          <w:rFonts w:hint="default" w:ascii="宋体" w:hAnsi="宋体" w:eastAsia="宋体" w:cs="宋体"/>
          <w:color w:val="auto"/>
          <w:sz w:val="24"/>
          <w:szCs w:val="18"/>
          <w:lang w:val="en-US" w:eastAsia="zh-CN"/>
        </w:rPr>
      </w:pPr>
      <w:r>
        <w:rPr>
          <w:rFonts w:ascii="宋体" w:hAnsi="宋体" w:eastAsia="宋体" w:cs="宋体"/>
          <w:sz w:val="24"/>
          <w:szCs w:val="18"/>
        </w:rPr>
        <w:t>1、</w:t>
      </w:r>
      <w:r>
        <w:rPr>
          <w:rFonts w:ascii="宋体" w:hAnsi="宋体" w:eastAsia="宋体" w:cs="宋体"/>
          <w:color w:val="auto"/>
          <w:sz w:val="24"/>
          <w:szCs w:val="18"/>
        </w:rPr>
        <w:t>提供中国教育和科研计算机网（CERNET） IPv4和IPv6接入服务，</w:t>
      </w:r>
      <w:r>
        <w:rPr>
          <w:rFonts w:hint="eastAsia" w:ascii="宋体" w:hAnsi="宋体" w:eastAsia="宋体" w:cs="宋体"/>
          <w:color w:val="auto"/>
          <w:sz w:val="24"/>
          <w:szCs w:val="18"/>
        </w:rPr>
        <w:t>包括</w:t>
      </w:r>
      <w:r>
        <w:rPr>
          <w:rFonts w:ascii="宋体" w:hAnsi="宋体" w:eastAsia="宋体" w:cs="宋体"/>
          <w:color w:val="auto"/>
          <w:sz w:val="24"/>
          <w:szCs w:val="18"/>
        </w:rPr>
        <w:t>从合肥工业大学上联到CERNET合肥主节点</w:t>
      </w:r>
      <w:r>
        <w:rPr>
          <w:rFonts w:hint="eastAsia" w:ascii="宋体" w:hAnsi="宋体" w:eastAsia="宋体" w:cs="宋体"/>
          <w:color w:val="auto"/>
          <w:sz w:val="24"/>
          <w:szCs w:val="18"/>
        </w:rPr>
        <w:t>和合肥工业大</w:t>
      </w:r>
      <w:r>
        <w:rPr>
          <w:rFonts w:hint="eastAsia" w:ascii="宋体" w:hAnsi="宋体" w:eastAsia="宋体" w:cs="宋体"/>
          <w:color w:val="auto"/>
          <w:sz w:val="24"/>
          <w:szCs w:val="18"/>
          <w:highlight w:val="none"/>
        </w:rPr>
        <w:t>学宣城校区上联到宣城市</w:t>
      </w:r>
      <w:r>
        <w:rPr>
          <w:rFonts w:ascii="宋体" w:hAnsi="宋体" w:eastAsia="宋体" w:cs="宋体"/>
          <w:color w:val="auto"/>
          <w:sz w:val="24"/>
          <w:szCs w:val="18"/>
          <w:highlight w:val="none"/>
        </w:rPr>
        <w:t>CERNET</w:t>
      </w:r>
      <w:r>
        <w:rPr>
          <w:rFonts w:hint="eastAsia" w:ascii="宋体" w:hAnsi="宋体" w:eastAsia="宋体" w:cs="宋体"/>
          <w:color w:val="auto"/>
          <w:sz w:val="24"/>
          <w:szCs w:val="18"/>
          <w:highlight w:val="none"/>
        </w:rPr>
        <w:t>节点。合肥工业大学到每个节点之间的互联线路都应至少有两家运营商来承载（</w:t>
      </w:r>
      <w:r>
        <w:rPr>
          <w:rFonts w:hint="eastAsia" w:ascii="宋体" w:hAnsi="宋体" w:eastAsia="宋体" w:cs="宋体"/>
          <w:color w:val="auto"/>
          <w:sz w:val="24"/>
          <w:szCs w:val="18"/>
          <w:highlight w:val="none"/>
          <w:lang w:val="en-US" w:eastAsia="zh-CN"/>
        </w:rPr>
        <w:t>每家提供两条不同路由的物理线路，从科大到工大屯溪路校区指定位置</w:t>
      </w:r>
      <w:r>
        <w:rPr>
          <w:rFonts w:hint="eastAsia" w:ascii="宋体" w:hAnsi="宋体" w:eastAsia="宋体" w:cs="宋体"/>
          <w:color w:val="auto"/>
          <w:sz w:val="24"/>
          <w:szCs w:val="18"/>
          <w:highlight w:val="none"/>
        </w:rPr>
        <w:t>）</w:t>
      </w:r>
      <w:r>
        <w:rPr>
          <w:rFonts w:hint="eastAsia" w:ascii="宋体" w:hAnsi="宋体" w:eastAsia="宋体" w:cs="宋体"/>
          <w:color w:val="auto"/>
          <w:sz w:val="24"/>
          <w:szCs w:val="18"/>
          <w:highlight w:val="none"/>
          <w:lang w:eastAsia="zh-CN"/>
        </w:rPr>
        <w:t>；</w:t>
      </w:r>
      <w:r>
        <w:rPr>
          <w:rFonts w:hint="eastAsia" w:ascii="宋体" w:hAnsi="宋体" w:eastAsia="宋体" w:cs="宋体"/>
          <w:color w:val="auto"/>
          <w:sz w:val="24"/>
          <w:szCs w:val="18"/>
          <w:highlight w:val="none"/>
          <w:lang w:val="en-US" w:eastAsia="zh-CN"/>
        </w:rPr>
        <w:t>IPv4与IPv6线路须互为备份，当一条线路中断后业务自动切换</w:t>
      </w:r>
      <w:r>
        <w:rPr>
          <w:rFonts w:ascii="宋体" w:hAnsi="宋体" w:eastAsia="宋体" w:cs="宋体"/>
          <w:color w:val="auto"/>
          <w:sz w:val="24"/>
          <w:szCs w:val="18"/>
          <w:highlight w:val="none"/>
        </w:rPr>
        <w:t>；</w:t>
      </w:r>
    </w:p>
    <w:p w14:paraId="40C3B196">
      <w:pPr>
        <w:spacing w:line="360" w:lineRule="auto"/>
        <w:ind w:firstLine="437"/>
        <w:rPr>
          <w:rFonts w:hint="eastAsia" w:ascii="宋体" w:hAnsi="宋体" w:eastAsia="宋体" w:cs="宋体"/>
          <w:color w:val="auto"/>
          <w:sz w:val="24"/>
          <w:szCs w:val="18"/>
          <w:lang w:eastAsia="zh-CN"/>
        </w:rPr>
      </w:pPr>
      <w:r>
        <w:rPr>
          <w:rFonts w:ascii="宋体" w:hAnsi="宋体" w:eastAsia="宋体" w:cs="宋体"/>
          <w:color w:val="auto"/>
          <w:sz w:val="24"/>
          <w:szCs w:val="18"/>
        </w:rPr>
        <w:t>2、提供IPv4+IPv6双栈、纯IPv6以及其他各种常用网络协议的全协议支持；</w:t>
      </w:r>
      <w:r>
        <w:rPr>
          <w:rFonts w:hint="eastAsia" w:ascii="宋体" w:hAnsi="宋体" w:eastAsia="宋体" w:cs="宋体"/>
          <w:color w:val="auto"/>
          <w:sz w:val="24"/>
          <w:szCs w:val="18"/>
        </w:rPr>
        <w:t>国内</w:t>
      </w:r>
      <w:r>
        <w:rPr>
          <w:rFonts w:ascii="宋体" w:hAnsi="宋体" w:eastAsia="宋体" w:cs="宋体"/>
          <w:color w:val="auto"/>
          <w:sz w:val="24"/>
          <w:szCs w:val="18"/>
        </w:rPr>
        <w:t>出口带宽要求上下</w:t>
      </w:r>
      <w:r>
        <w:rPr>
          <w:rFonts w:ascii="宋体" w:hAnsi="宋体" w:eastAsia="宋体" w:cs="宋体"/>
          <w:color w:val="auto"/>
          <w:sz w:val="24"/>
          <w:szCs w:val="18"/>
          <w:highlight w:val="none"/>
        </w:rPr>
        <w:t>行对等独享，且上下行</w:t>
      </w:r>
      <w:r>
        <w:rPr>
          <w:rFonts w:ascii="宋体" w:hAnsi="宋体" w:eastAsia="宋体" w:cs="宋体"/>
          <w:b w:val="0"/>
          <w:bCs w:val="0"/>
          <w:color w:val="auto"/>
          <w:sz w:val="24"/>
          <w:szCs w:val="18"/>
          <w:highlight w:val="none"/>
        </w:rPr>
        <w:t>均不低于1.9Gbps</w:t>
      </w:r>
      <w:r>
        <w:rPr>
          <w:rFonts w:hint="eastAsia" w:ascii="宋体" w:hAnsi="宋体" w:eastAsia="宋体" w:cs="宋体"/>
          <w:b w:val="0"/>
          <w:bCs w:val="0"/>
          <w:color w:val="auto"/>
          <w:sz w:val="24"/>
          <w:szCs w:val="18"/>
          <w:highlight w:val="none"/>
        </w:rPr>
        <w:t>，免</w:t>
      </w:r>
      <w:r>
        <w:rPr>
          <w:rFonts w:hint="eastAsia" w:ascii="宋体" w:hAnsi="宋体" w:eastAsia="宋体" w:cs="宋体"/>
          <w:color w:val="auto"/>
          <w:sz w:val="24"/>
          <w:szCs w:val="18"/>
          <w:highlight w:val="none"/>
        </w:rPr>
        <w:t>费国际带宽配额</w:t>
      </w:r>
      <w:r>
        <w:rPr>
          <w:rFonts w:ascii="宋体" w:hAnsi="宋体" w:eastAsia="宋体" w:cs="宋体"/>
          <w:color w:val="auto"/>
          <w:sz w:val="24"/>
          <w:szCs w:val="18"/>
          <w:highlight w:val="none"/>
        </w:rPr>
        <w:t>上下行对等独享95M；企</w:t>
      </w:r>
      <w:r>
        <w:rPr>
          <w:rFonts w:ascii="宋体" w:hAnsi="宋体" w:eastAsia="宋体" w:cs="宋体"/>
          <w:color w:val="auto"/>
          <w:sz w:val="24"/>
          <w:szCs w:val="18"/>
        </w:rPr>
        <w:t>业总体互联网出口带宽能够满足所投标项目的100%全负荷全年稳定运行；</w:t>
      </w:r>
      <w:r>
        <w:rPr>
          <w:rFonts w:hint="eastAsia" w:ascii="宋体" w:hAnsi="宋体" w:eastAsia="宋体" w:cs="宋体"/>
          <w:color w:val="auto"/>
          <w:sz w:val="24"/>
          <w:szCs w:val="18"/>
        </w:rPr>
        <w:t>供应商的服务总出口具有基本的QOS质量保障</w:t>
      </w:r>
      <w:r>
        <w:rPr>
          <w:rFonts w:hint="eastAsia" w:ascii="宋体" w:hAnsi="宋体" w:eastAsia="宋体" w:cs="宋体"/>
          <w:color w:val="auto"/>
          <w:sz w:val="24"/>
          <w:szCs w:val="18"/>
          <w:lang w:eastAsia="zh-CN"/>
        </w:rPr>
        <w:t>；</w:t>
      </w:r>
    </w:p>
    <w:p w14:paraId="42175010">
      <w:pPr>
        <w:spacing w:line="360" w:lineRule="auto"/>
        <w:ind w:firstLine="437"/>
        <w:rPr>
          <w:rFonts w:ascii="宋体" w:hAnsi="宋体" w:eastAsia="宋体" w:cs="宋体"/>
          <w:color w:val="auto"/>
          <w:sz w:val="24"/>
          <w:szCs w:val="18"/>
        </w:rPr>
      </w:pPr>
      <w:r>
        <w:rPr>
          <w:rFonts w:ascii="宋体" w:hAnsi="宋体" w:eastAsia="宋体" w:cs="宋体"/>
          <w:color w:val="auto"/>
          <w:sz w:val="24"/>
          <w:szCs w:val="18"/>
        </w:rPr>
        <w:t>3、提供IPv4地址段的互联网路由：地址段：210.045.240.000 -210.045.255.255、222.195.0.0-222.195.15.255</w:t>
      </w:r>
      <w:r>
        <w:rPr>
          <w:rFonts w:hint="eastAsia" w:ascii="宋体" w:hAnsi="宋体" w:eastAsia="宋体" w:cs="宋体"/>
          <w:color w:val="auto"/>
          <w:sz w:val="24"/>
          <w:szCs w:val="18"/>
        </w:rPr>
        <w:t>、</w:t>
      </w:r>
      <w:r>
        <w:rPr>
          <w:rFonts w:ascii="宋体" w:hAnsi="宋体" w:eastAsia="宋体" w:cs="宋体"/>
          <w:color w:val="auto"/>
          <w:sz w:val="24"/>
          <w:szCs w:val="18"/>
        </w:rPr>
        <w:t>114.213.192.0-114.213.255.255、121.251.16.0 -121.251.23.255</w:t>
      </w:r>
      <w:r>
        <w:rPr>
          <w:rFonts w:hint="eastAsia" w:ascii="宋体" w:hAnsi="宋体" w:eastAsia="宋体" w:cs="宋体"/>
          <w:color w:val="auto"/>
          <w:sz w:val="24"/>
          <w:szCs w:val="18"/>
        </w:rPr>
        <w:t>；</w:t>
      </w:r>
    </w:p>
    <w:p w14:paraId="1754E710">
      <w:pPr>
        <w:spacing w:line="360" w:lineRule="auto"/>
        <w:ind w:firstLine="437"/>
        <w:rPr>
          <w:rFonts w:ascii="宋体" w:hAnsi="宋体" w:eastAsia="宋体" w:cs="宋体"/>
          <w:color w:val="auto"/>
          <w:sz w:val="24"/>
          <w:szCs w:val="18"/>
        </w:rPr>
      </w:pPr>
      <w:r>
        <w:rPr>
          <w:rFonts w:ascii="宋体" w:hAnsi="宋体" w:eastAsia="宋体" w:cs="宋体"/>
          <w:color w:val="auto"/>
          <w:sz w:val="24"/>
          <w:szCs w:val="18"/>
        </w:rPr>
        <w:t>4、提供IPv6地址段的互联网路由：2001:DA8:D805::/48</w:t>
      </w:r>
      <w:r>
        <w:rPr>
          <w:rFonts w:hint="eastAsia" w:ascii="宋体" w:hAnsi="宋体" w:eastAsia="宋体" w:cs="宋体"/>
          <w:color w:val="auto"/>
          <w:sz w:val="24"/>
          <w:szCs w:val="18"/>
        </w:rPr>
        <w:t>、2</w:t>
      </w:r>
      <w:r>
        <w:rPr>
          <w:rFonts w:ascii="宋体" w:hAnsi="宋体" w:eastAsia="宋体" w:cs="宋体"/>
          <w:color w:val="auto"/>
          <w:sz w:val="24"/>
          <w:szCs w:val="18"/>
        </w:rPr>
        <w:t>40C:C803:FFF0::/44</w:t>
      </w:r>
      <w:r>
        <w:rPr>
          <w:rFonts w:hint="eastAsia" w:ascii="宋体" w:hAnsi="宋体" w:eastAsia="宋体" w:cs="宋体"/>
          <w:color w:val="auto"/>
          <w:sz w:val="24"/>
          <w:szCs w:val="18"/>
        </w:rPr>
        <w:t>；</w:t>
      </w:r>
    </w:p>
    <w:p w14:paraId="2194D14C">
      <w:pPr>
        <w:spacing w:line="360" w:lineRule="auto"/>
        <w:ind w:firstLine="437"/>
        <w:rPr>
          <w:rFonts w:ascii="宋体" w:hAnsi="宋体" w:eastAsia="宋体" w:cs="宋体"/>
          <w:color w:val="auto"/>
          <w:sz w:val="24"/>
          <w:szCs w:val="18"/>
        </w:rPr>
      </w:pPr>
      <w:r>
        <w:rPr>
          <w:rFonts w:ascii="宋体" w:hAnsi="宋体" w:eastAsia="宋体" w:cs="宋体"/>
          <w:color w:val="auto"/>
          <w:sz w:val="24"/>
          <w:szCs w:val="18"/>
        </w:rPr>
        <w:t>5、提供HFUT.EDU.CN域名申请、备案、解析等相关服务</w:t>
      </w:r>
      <w:r>
        <w:rPr>
          <w:rFonts w:hint="eastAsia" w:ascii="宋体" w:hAnsi="宋体" w:eastAsia="宋体" w:cs="宋体"/>
          <w:color w:val="auto"/>
          <w:sz w:val="24"/>
          <w:szCs w:val="18"/>
        </w:rPr>
        <w:t>，</w:t>
      </w:r>
      <w:r>
        <w:rPr>
          <w:rFonts w:ascii="宋体" w:hAnsi="宋体" w:eastAsia="宋体" w:cs="宋体"/>
          <w:color w:val="auto"/>
          <w:sz w:val="24"/>
          <w:szCs w:val="18"/>
        </w:rPr>
        <w:t>并承诺不进行DNS劫持</w:t>
      </w:r>
      <w:r>
        <w:rPr>
          <w:rFonts w:hint="eastAsia" w:ascii="宋体" w:hAnsi="宋体" w:eastAsia="宋体" w:cs="宋体"/>
          <w:color w:val="auto"/>
          <w:sz w:val="24"/>
          <w:szCs w:val="18"/>
        </w:rPr>
        <w:t>；</w:t>
      </w:r>
    </w:p>
    <w:p w14:paraId="29720648">
      <w:pPr>
        <w:spacing w:line="360" w:lineRule="auto"/>
        <w:ind w:firstLine="437"/>
        <w:rPr>
          <w:rFonts w:ascii="宋体" w:hAnsi="宋体" w:eastAsia="宋体" w:cs="宋体"/>
          <w:color w:val="auto"/>
          <w:sz w:val="24"/>
          <w:szCs w:val="18"/>
        </w:rPr>
      </w:pPr>
      <w:r>
        <w:rPr>
          <w:rFonts w:ascii="宋体" w:hAnsi="宋体" w:eastAsia="宋体" w:cs="宋体"/>
          <w:color w:val="auto"/>
          <w:sz w:val="24"/>
          <w:szCs w:val="18"/>
        </w:rPr>
        <w:t>6、能提供BGP接入模式；</w:t>
      </w:r>
    </w:p>
    <w:p w14:paraId="2B7A90F1">
      <w:pPr>
        <w:spacing w:line="360" w:lineRule="auto"/>
        <w:ind w:firstLine="437"/>
        <w:rPr>
          <w:rFonts w:hint="eastAsia" w:ascii="宋体" w:hAnsi="宋体" w:eastAsia="宋体" w:cs="宋体"/>
          <w:color w:val="auto"/>
          <w:sz w:val="24"/>
          <w:szCs w:val="18"/>
          <w:lang w:eastAsia="zh-CN"/>
        </w:rPr>
      </w:pPr>
      <w:r>
        <w:rPr>
          <w:rFonts w:ascii="宋体" w:hAnsi="宋体" w:eastAsia="宋体" w:cs="宋体"/>
          <w:color w:val="auto"/>
          <w:sz w:val="24"/>
          <w:szCs w:val="18"/>
        </w:rPr>
        <w:t>7、丢包率小于2%；</w:t>
      </w:r>
      <w:r>
        <w:rPr>
          <w:rFonts w:hint="eastAsia" w:ascii="宋体" w:hAnsi="宋体" w:eastAsia="宋体" w:cs="宋体"/>
          <w:color w:val="auto"/>
          <w:kern w:val="0"/>
          <w:sz w:val="24"/>
          <w:szCs w:val="24"/>
        </w:rPr>
        <w:t>链路可用率不低于99.9%；跨网（不同运营商）通信平均时延≤50ms</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出口链路光衰等各项指标符合ISO/IEC11801国际标准</w:t>
      </w:r>
      <w:r>
        <w:rPr>
          <w:rFonts w:hint="eastAsia" w:ascii="宋体" w:hAnsi="宋体" w:eastAsia="宋体" w:cs="宋体"/>
          <w:color w:val="auto"/>
          <w:kern w:val="0"/>
          <w:sz w:val="24"/>
          <w:szCs w:val="24"/>
          <w:lang w:eastAsia="zh-CN"/>
        </w:rPr>
        <w:t>；</w:t>
      </w:r>
    </w:p>
    <w:p w14:paraId="5BAD62D0">
      <w:pPr>
        <w:spacing w:line="360" w:lineRule="auto"/>
        <w:ind w:firstLine="437"/>
        <w:rPr>
          <w:rFonts w:hint="eastAsia" w:ascii="宋体" w:hAnsi="宋体" w:eastAsia="宋体" w:cs="宋体"/>
          <w:color w:val="auto"/>
          <w:sz w:val="40"/>
          <w:szCs w:val="24"/>
          <w:highlight w:val="yellow"/>
          <w:u w:val="single"/>
          <w:lang w:eastAsia="zh-CN"/>
        </w:rPr>
      </w:pPr>
      <w:r>
        <w:rPr>
          <w:rFonts w:ascii="宋体" w:hAnsi="宋体" w:eastAsia="宋体" w:cs="宋体"/>
          <w:color w:val="auto"/>
          <w:sz w:val="24"/>
          <w:szCs w:val="18"/>
        </w:rPr>
        <w:t>8、售后服务：保证网络畅通</w:t>
      </w:r>
      <w:r>
        <w:rPr>
          <w:rFonts w:hint="eastAsia" w:ascii="宋体" w:hAnsi="宋体" w:eastAsia="宋体" w:cs="宋体"/>
          <w:color w:val="auto"/>
          <w:sz w:val="24"/>
          <w:szCs w:val="18"/>
        </w:rPr>
        <w:t>，</w:t>
      </w:r>
      <w:r>
        <w:rPr>
          <w:rFonts w:ascii="宋体" w:hAnsi="宋体" w:eastAsia="宋体" w:cs="宋体"/>
          <w:color w:val="auto"/>
          <w:sz w:val="24"/>
          <w:szCs w:val="18"/>
        </w:rPr>
        <w:t>7*24小时快速反应处理网络故障</w:t>
      </w:r>
      <w:r>
        <w:rPr>
          <w:rFonts w:hint="eastAsia" w:ascii="宋体" w:hAnsi="宋体" w:eastAsia="宋体" w:cs="宋体"/>
          <w:color w:val="auto"/>
          <w:sz w:val="24"/>
          <w:szCs w:val="18"/>
        </w:rPr>
        <w:t>；要求故障发生后无条件响应配合问题排查与处置</w:t>
      </w:r>
      <w:r>
        <w:rPr>
          <w:rFonts w:hint="eastAsia" w:ascii="宋体" w:hAnsi="宋体" w:eastAsia="宋体" w:cs="宋体"/>
          <w:color w:val="auto"/>
          <w:sz w:val="24"/>
          <w:szCs w:val="18"/>
          <w:lang w:eastAsia="zh-CN"/>
        </w:rPr>
        <w:t>；</w:t>
      </w:r>
    </w:p>
    <w:p w14:paraId="5252946B">
      <w:pPr>
        <w:numPr>
          <w:ilvl w:val="0"/>
          <w:numId w:val="2"/>
        </w:numPr>
        <w:spacing w:line="360" w:lineRule="auto"/>
        <w:ind w:firstLine="437"/>
        <w:rPr>
          <w:rFonts w:ascii="宋体" w:hAnsi="宋体" w:eastAsia="宋体" w:cs="宋体"/>
          <w:color w:val="auto"/>
          <w:kern w:val="2"/>
          <w:sz w:val="24"/>
          <w:szCs w:val="18"/>
          <w:lang w:val="en-US" w:eastAsia="zh-CN" w:bidi="ar-SA"/>
        </w:rPr>
      </w:pPr>
      <w:r>
        <w:rPr>
          <w:rFonts w:ascii="宋体" w:hAnsi="宋体" w:eastAsia="宋体" w:cs="宋体"/>
          <w:color w:val="auto"/>
          <w:sz w:val="24"/>
          <w:szCs w:val="18"/>
        </w:rPr>
        <w:t>提供线路连接的网络拓扑图</w:t>
      </w:r>
      <w:r>
        <w:rPr>
          <w:rFonts w:hint="eastAsia" w:ascii="宋体" w:hAnsi="宋体" w:eastAsia="宋体" w:cs="宋体"/>
          <w:color w:val="auto"/>
          <w:sz w:val="24"/>
          <w:szCs w:val="18"/>
        </w:rPr>
        <w:t>并在拓扑变动后及时提供更新</w:t>
      </w:r>
      <w:r>
        <w:rPr>
          <w:rFonts w:hint="eastAsia" w:ascii="宋体" w:hAnsi="宋体" w:eastAsia="宋体" w:cs="宋体"/>
          <w:color w:val="auto"/>
          <w:sz w:val="24"/>
          <w:szCs w:val="18"/>
          <w:lang w:eastAsia="zh-CN"/>
        </w:rPr>
        <w:t>；</w:t>
      </w:r>
    </w:p>
    <w:p w14:paraId="300BA225">
      <w:pPr>
        <w:numPr>
          <w:ilvl w:val="0"/>
          <w:numId w:val="2"/>
        </w:numPr>
        <w:spacing w:line="360" w:lineRule="auto"/>
        <w:ind w:firstLine="437"/>
        <w:rPr>
          <w:rFonts w:ascii="宋体" w:hAnsi="宋体" w:eastAsia="宋体" w:cs="宋体"/>
          <w:color w:val="auto"/>
          <w:kern w:val="2"/>
          <w:sz w:val="24"/>
          <w:szCs w:val="18"/>
          <w:lang w:val="en-US" w:eastAsia="zh-CN" w:bidi="ar-SA"/>
        </w:rPr>
      </w:pPr>
      <w:r>
        <w:rPr>
          <w:rFonts w:hint="eastAsia" w:ascii="宋体" w:hAnsi="宋体" w:eastAsia="宋体" w:cs="宋体"/>
          <w:color w:val="auto"/>
          <w:sz w:val="24"/>
          <w:szCs w:val="18"/>
        </w:rPr>
        <w:t>提供互联线路所需的</w:t>
      </w:r>
      <w:r>
        <w:rPr>
          <w:rFonts w:ascii="宋体" w:hAnsi="宋体" w:eastAsia="宋体" w:cs="宋体"/>
          <w:color w:val="auto"/>
          <w:sz w:val="24"/>
          <w:szCs w:val="18"/>
        </w:rPr>
        <w:t>设备</w:t>
      </w:r>
      <w:r>
        <w:rPr>
          <w:rFonts w:hint="eastAsia" w:ascii="宋体" w:hAnsi="宋体" w:eastAsia="宋体" w:cs="宋体"/>
          <w:color w:val="auto"/>
          <w:sz w:val="24"/>
          <w:szCs w:val="18"/>
        </w:rPr>
        <w:t>、模块</w:t>
      </w:r>
      <w:r>
        <w:rPr>
          <w:rFonts w:ascii="宋体" w:hAnsi="宋体" w:eastAsia="宋体" w:cs="宋体"/>
          <w:color w:val="auto"/>
          <w:sz w:val="24"/>
          <w:szCs w:val="18"/>
        </w:rPr>
        <w:t>及维护服务</w:t>
      </w:r>
      <w:r>
        <w:rPr>
          <w:rFonts w:hint="eastAsia" w:ascii="宋体" w:hAnsi="宋体" w:eastAsia="宋体" w:cs="宋体"/>
          <w:color w:val="auto"/>
          <w:sz w:val="24"/>
          <w:szCs w:val="18"/>
        </w:rPr>
        <w:t>等</w:t>
      </w:r>
      <w:r>
        <w:rPr>
          <w:rFonts w:hint="eastAsia" w:ascii="宋体" w:hAnsi="宋体" w:eastAsia="宋体" w:cs="宋体"/>
          <w:color w:val="auto"/>
          <w:kern w:val="2"/>
          <w:sz w:val="24"/>
          <w:szCs w:val="18"/>
          <w:lang w:val="en-US" w:eastAsia="zh-CN" w:bidi="ar-SA"/>
        </w:rPr>
        <w:t>。</w:t>
      </w:r>
    </w:p>
    <w:p w14:paraId="596DB071"/>
    <w:p w14:paraId="696E0A0F">
      <w:pPr>
        <w:spacing w:line="360" w:lineRule="auto"/>
        <w:ind w:firstLine="437"/>
        <w:rPr>
          <w:rFonts w:ascii="宋体" w:hAnsi="宋体" w:eastAsia="宋体" w:cs="宋体"/>
          <w:b/>
          <w:bCs/>
          <w:sz w:val="24"/>
          <w:szCs w:val="18"/>
        </w:rPr>
      </w:pPr>
      <w:r>
        <w:rPr>
          <w:rFonts w:hint="eastAsia" w:ascii="宋体" w:hAnsi="宋体" w:eastAsia="宋体" w:cs="宋体"/>
          <w:b/>
          <w:bCs/>
          <w:sz w:val="24"/>
          <w:szCs w:val="18"/>
        </w:rPr>
        <w:t>四、报价要求</w:t>
      </w:r>
    </w:p>
    <w:p w14:paraId="1EE881D8">
      <w:pPr>
        <w:spacing w:line="360" w:lineRule="auto"/>
        <w:ind w:firstLine="437"/>
        <w:rPr>
          <w:rFonts w:ascii="Times New Roman" w:hAnsi="Times New Roman" w:eastAsia="宋体" w:cs="Times New Roman"/>
          <w:bCs/>
          <w:sz w:val="24"/>
          <w:szCs w:val="18"/>
          <w:highlight w:val="none"/>
        </w:rPr>
      </w:pPr>
      <w:r>
        <w:rPr>
          <w:rFonts w:ascii="Times New Roman" w:hAnsi="Times New Roman" w:eastAsia="宋体" w:cs="Times New Roman"/>
          <w:bCs/>
          <w:sz w:val="24"/>
          <w:szCs w:val="18"/>
        </w:rPr>
        <w:t>项目最高限价：详见招标公告。</w:t>
      </w:r>
    </w:p>
    <w:p w14:paraId="7134E29E">
      <w:pPr>
        <w:spacing w:line="360" w:lineRule="auto"/>
        <w:ind w:firstLine="437"/>
        <w:rPr>
          <w:rFonts w:ascii="Times New Roman" w:hAnsi="Times New Roman" w:eastAsia="宋体" w:cs="Times New Roman"/>
          <w:bCs/>
          <w:sz w:val="24"/>
          <w:szCs w:val="18"/>
        </w:rPr>
      </w:pPr>
      <w:r>
        <w:rPr>
          <w:rFonts w:ascii="Times New Roman" w:hAnsi="Times New Roman" w:eastAsia="宋体" w:cs="Times New Roman"/>
          <w:bCs/>
          <w:sz w:val="24"/>
          <w:szCs w:val="18"/>
          <w:highlight w:val="none"/>
        </w:rPr>
        <w:t>供应商的投标报价高于本项目的最高限价为无效报价，单项如有最</w:t>
      </w:r>
      <w:r>
        <w:rPr>
          <w:rFonts w:ascii="Times New Roman" w:hAnsi="Times New Roman" w:eastAsia="宋体" w:cs="Times New Roman"/>
          <w:bCs/>
          <w:sz w:val="24"/>
          <w:szCs w:val="18"/>
        </w:rPr>
        <w:t>高限价，供应商的报价高于或等于本项目最高限价或单项最高限价均为无效报价。</w:t>
      </w:r>
    </w:p>
    <w:p w14:paraId="682A976B">
      <w:pPr>
        <w:spacing w:line="360" w:lineRule="auto"/>
        <w:ind w:firstLine="437"/>
        <w:rPr>
          <w:rFonts w:hint="eastAsia" w:ascii="宋体" w:hAnsi="宋体" w:eastAsia="宋体" w:cs="宋体"/>
          <w:bCs/>
          <w:sz w:val="24"/>
          <w:szCs w:val="18"/>
          <w:highlight w:val="none"/>
        </w:rPr>
      </w:pPr>
      <w:r>
        <w:rPr>
          <w:rFonts w:hint="eastAsia" w:ascii="宋体" w:hAnsi="宋体" w:eastAsia="宋体" w:cs="宋体"/>
          <w:bCs/>
          <w:sz w:val="24"/>
          <w:szCs w:val="18"/>
          <w:highlight w:val="none"/>
        </w:rPr>
        <w:t>本项目</w:t>
      </w:r>
      <w:r>
        <w:rPr>
          <w:rFonts w:ascii="Times New Roman" w:hAnsi="Times New Roman" w:eastAsia="宋体" w:cs="Times New Roman"/>
          <w:bCs/>
          <w:sz w:val="24"/>
          <w:szCs w:val="18"/>
          <w:highlight w:val="none"/>
        </w:rPr>
        <w:t>为一次性固定报价</w:t>
      </w:r>
      <w:r>
        <w:rPr>
          <w:rFonts w:hint="eastAsia" w:ascii="宋体" w:hAnsi="宋体" w:eastAsia="宋体" w:cs="宋体"/>
          <w:bCs/>
          <w:sz w:val="24"/>
          <w:szCs w:val="18"/>
          <w:highlight w:val="none"/>
        </w:rPr>
        <w:t>，报价包含完成本项目服务所产生的一切费用。</w:t>
      </w:r>
    </w:p>
    <w:p w14:paraId="0D1035C2">
      <w:pPr>
        <w:pStyle w:val="7"/>
        <w:numPr>
          <w:ilvl w:val="0"/>
          <w:numId w:val="0"/>
        </w:numPr>
        <w:spacing w:line="360" w:lineRule="auto"/>
        <w:ind w:left="480" w:leftChars="0"/>
        <w:jc w:val="left"/>
        <w:rPr>
          <w:rFonts w:ascii="宋体" w:hAnsi="宋体" w:eastAsia="宋体"/>
          <w:b/>
          <w:color w:val="auto"/>
          <w:sz w:val="24"/>
          <w:highlight w:val="none"/>
        </w:rPr>
      </w:pPr>
      <w:r>
        <w:rPr>
          <w:rFonts w:hint="eastAsia" w:ascii="宋体" w:hAnsi="宋体" w:eastAsia="宋体"/>
          <w:b/>
          <w:color w:val="auto"/>
          <w:sz w:val="24"/>
          <w:highlight w:val="none"/>
          <w:lang w:val="en-US" w:eastAsia="zh-CN"/>
        </w:rPr>
        <w:t>五、</w:t>
      </w:r>
      <w:r>
        <w:rPr>
          <w:rFonts w:hint="eastAsia" w:ascii="宋体" w:hAnsi="宋体" w:eastAsia="宋体"/>
          <w:b/>
          <w:color w:val="auto"/>
          <w:sz w:val="24"/>
          <w:highlight w:val="none"/>
        </w:rPr>
        <w:t>考核措施</w:t>
      </w:r>
    </w:p>
    <w:p w14:paraId="1D06F84E">
      <w:pPr>
        <w:spacing w:line="360" w:lineRule="auto"/>
        <w:ind w:firstLine="437"/>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付款前</w:t>
      </w:r>
      <w:r>
        <w:rPr>
          <w:rFonts w:ascii="宋体" w:hAnsi="宋体" w:eastAsia="宋体"/>
          <w:color w:val="auto"/>
          <w:sz w:val="24"/>
          <w:szCs w:val="24"/>
          <w:highlight w:val="none"/>
        </w:rPr>
        <w:t>对</w:t>
      </w:r>
      <w:r>
        <w:rPr>
          <w:rFonts w:hint="eastAsia" w:ascii="宋体" w:hAnsi="宋体" w:eastAsia="宋体"/>
          <w:color w:val="auto"/>
          <w:sz w:val="24"/>
          <w:szCs w:val="24"/>
          <w:highlight w:val="none"/>
        </w:rPr>
        <w:t>服务单位的出口带宽</w:t>
      </w:r>
      <w:r>
        <w:rPr>
          <w:rFonts w:ascii="宋体" w:hAnsi="宋体" w:eastAsia="宋体"/>
          <w:color w:val="auto"/>
          <w:sz w:val="24"/>
          <w:szCs w:val="24"/>
          <w:highlight w:val="none"/>
        </w:rPr>
        <w:t>服务质量和效果</w:t>
      </w:r>
      <w:r>
        <w:rPr>
          <w:rFonts w:hint="eastAsia" w:ascii="宋体" w:hAnsi="宋体" w:eastAsia="宋体"/>
          <w:color w:val="auto"/>
          <w:sz w:val="24"/>
          <w:szCs w:val="24"/>
          <w:highlight w:val="none"/>
        </w:rPr>
        <w:t>进行检查</w:t>
      </w:r>
      <w:r>
        <w:rPr>
          <w:rFonts w:ascii="宋体" w:hAnsi="宋体" w:eastAsia="宋体"/>
          <w:color w:val="auto"/>
          <w:sz w:val="24"/>
          <w:szCs w:val="24"/>
          <w:highlight w:val="none"/>
        </w:rPr>
        <w:t>，并依据《</w:t>
      </w:r>
      <w:r>
        <w:rPr>
          <w:rFonts w:hint="eastAsia" w:ascii="宋体" w:hAnsi="宋体" w:eastAsia="宋体"/>
          <w:color w:val="auto"/>
          <w:sz w:val="24"/>
          <w:szCs w:val="24"/>
          <w:highlight w:val="none"/>
          <w:lang w:val="en-US" w:eastAsia="zh-CN"/>
        </w:rPr>
        <w:t>合肥</w:t>
      </w:r>
      <w:r>
        <w:rPr>
          <w:rFonts w:ascii="宋体" w:hAnsi="宋体" w:eastAsia="宋体"/>
          <w:color w:val="auto"/>
          <w:sz w:val="24"/>
          <w:szCs w:val="24"/>
          <w:highlight w:val="none"/>
        </w:rPr>
        <w:t>校区</w:t>
      </w:r>
      <w:r>
        <w:rPr>
          <w:rFonts w:hint="eastAsia" w:ascii="宋体" w:hAnsi="宋体" w:eastAsia="宋体"/>
          <w:color w:val="auto"/>
          <w:sz w:val="24"/>
          <w:szCs w:val="24"/>
          <w:highlight w:val="none"/>
        </w:rPr>
        <w:t>出口带宽</w:t>
      </w:r>
      <w:r>
        <w:rPr>
          <w:rFonts w:ascii="宋体" w:hAnsi="宋体" w:eastAsia="宋体"/>
          <w:color w:val="auto"/>
          <w:sz w:val="24"/>
          <w:szCs w:val="24"/>
          <w:highlight w:val="none"/>
        </w:rPr>
        <w:t>服务单位服务质量考核评分表》（见附件）进行量化考核。</w:t>
      </w:r>
    </w:p>
    <w:p w14:paraId="058B7941">
      <w:pPr>
        <w:spacing w:line="360" w:lineRule="auto"/>
        <w:ind w:firstLine="437"/>
        <w:rPr>
          <w:rFonts w:ascii="宋体" w:hAnsi="宋体" w:eastAsia="宋体"/>
          <w:b/>
          <w:color w:val="auto"/>
          <w:sz w:val="24"/>
          <w:highlight w:val="none"/>
        </w:rPr>
      </w:pPr>
      <w:r>
        <w:rPr>
          <w:rFonts w:hint="eastAsia" w:ascii="宋体" w:hAnsi="宋体" w:eastAsia="宋体"/>
          <w:b/>
          <w:color w:val="auto"/>
          <w:sz w:val="24"/>
          <w:highlight w:val="none"/>
          <w:lang w:val="en-US" w:eastAsia="zh-CN"/>
        </w:rPr>
        <w:t>六、</w:t>
      </w:r>
      <w:r>
        <w:rPr>
          <w:rFonts w:hint="eastAsia" w:ascii="宋体" w:hAnsi="宋体" w:eastAsia="宋体"/>
          <w:b/>
          <w:color w:val="auto"/>
          <w:sz w:val="24"/>
          <w:highlight w:val="none"/>
        </w:rPr>
        <w:t>量化考核</w:t>
      </w:r>
    </w:p>
    <w:p w14:paraId="228FD75A">
      <w:pPr>
        <w:pStyle w:val="7"/>
        <w:numPr>
          <w:ilvl w:val="0"/>
          <w:numId w:val="0"/>
        </w:numPr>
        <w:spacing w:line="360" w:lineRule="auto"/>
        <w:ind w:left="0" w:leftChars="0" w:firstLine="480" w:firstLineChars="200"/>
        <w:jc w:val="left"/>
        <w:rPr>
          <w:rFonts w:ascii="宋体" w:hAnsi="宋体" w:eastAsia="宋体" w:cstheme="minorBidi"/>
          <w:color w:val="auto"/>
          <w:kern w:val="2"/>
          <w:sz w:val="24"/>
          <w:highlight w:val="none"/>
        </w:rPr>
      </w:pPr>
      <w:r>
        <w:rPr>
          <w:rFonts w:ascii="宋体" w:hAnsi="宋体" w:eastAsia="宋体" w:cstheme="minorBidi"/>
          <w:color w:val="auto"/>
          <w:kern w:val="2"/>
          <w:sz w:val="24"/>
          <w:lang w:val="en-US" w:eastAsia="zh-CN" w:bidi="ar-SA"/>
        </w:rPr>
        <w:t>1.</w:t>
      </w:r>
      <w:r>
        <w:rPr>
          <w:rFonts w:hint="eastAsia" w:ascii="宋体" w:hAnsi="宋体" w:eastAsia="宋体" w:cstheme="minorBidi"/>
          <w:color w:val="auto"/>
          <w:kern w:val="2"/>
          <w:sz w:val="24"/>
          <w:highlight w:val="none"/>
          <w:lang w:val="en-US" w:eastAsia="zh-CN"/>
        </w:rPr>
        <w:t>单次考核得分≥70分，则为合格；单次</w:t>
      </w:r>
      <w:r>
        <w:rPr>
          <w:rFonts w:hint="eastAsia" w:ascii="宋体" w:hAnsi="宋体" w:eastAsia="宋体" w:cstheme="minorBidi"/>
          <w:color w:val="auto"/>
          <w:kern w:val="2"/>
          <w:sz w:val="24"/>
          <w:highlight w:val="none"/>
        </w:rPr>
        <w:t>考核得分</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7</w:t>
      </w:r>
      <w:r>
        <w:rPr>
          <w:rFonts w:ascii="宋体" w:hAnsi="宋体" w:eastAsia="宋体"/>
          <w:color w:val="auto"/>
          <w:sz w:val="24"/>
          <w:highlight w:val="none"/>
        </w:rPr>
        <w:t>0</w:t>
      </w:r>
      <w:r>
        <w:rPr>
          <w:rFonts w:hint="eastAsia" w:ascii="宋体" w:hAnsi="宋体" w:eastAsia="宋体"/>
          <w:color w:val="auto"/>
          <w:sz w:val="24"/>
          <w:highlight w:val="none"/>
        </w:rPr>
        <w:t>分，无论合同期内</w:t>
      </w:r>
      <w:r>
        <w:rPr>
          <w:rFonts w:hint="eastAsia" w:ascii="宋体" w:hAnsi="宋体" w:eastAsia="宋体"/>
          <w:color w:val="auto"/>
          <w:sz w:val="24"/>
          <w:highlight w:val="none"/>
          <w:lang w:val="en-US" w:eastAsia="zh-CN"/>
        </w:rPr>
        <w:t>其他考核得分</w:t>
      </w:r>
      <w:r>
        <w:rPr>
          <w:rFonts w:hint="eastAsia" w:ascii="宋体" w:hAnsi="宋体" w:eastAsia="宋体"/>
          <w:color w:val="auto"/>
          <w:sz w:val="24"/>
          <w:highlight w:val="none"/>
        </w:rPr>
        <w:t>为多少，都将</w:t>
      </w:r>
      <w:r>
        <w:rPr>
          <w:rFonts w:hint="eastAsia" w:ascii="宋体" w:hAnsi="宋体" w:eastAsia="宋体"/>
          <w:color w:val="auto"/>
          <w:sz w:val="24"/>
          <w:highlight w:val="none"/>
          <w:lang w:val="en-US" w:eastAsia="zh-CN"/>
        </w:rPr>
        <w:t>扣除带宽费用的1%</w:t>
      </w:r>
      <w:r>
        <w:rPr>
          <w:rFonts w:hint="eastAsia" w:ascii="宋体" w:hAnsi="宋体" w:eastAsia="宋体"/>
          <w:color w:val="auto"/>
          <w:sz w:val="24"/>
          <w:highlight w:val="none"/>
        </w:rPr>
        <w:t>；</w:t>
      </w:r>
    </w:p>
    <w:p w14:paraId="360AF41A">
      <w:pPr>
        <w:pStyle w:val="7"/>
        <w:numPr>
          <w:ilvl w:val="0"/>
          <w:numId w:val="0"/>
        </w:numPr>
        <w:spacing w:line="360" w:lineRule="auto"/>
        <w:ind w:left="0" w:leftChars="0" w:firstLine="420" w:firstLineChars="200"/>
        <w:jc w:val="left"/>
        <w:rPr>
          <w:color w:val="auto"/>
          <w:highlight w:val="none"/>
        </w:rPr>
      </w:pPr>
      <w:r>
        <w:rPr>
          <w:rFonts w:hint="eastAsia" w:ascii="宋体" w:hAnsi="宋体" w:eastAsia="宋体" w:cs="宋体"/>
          <w:color w:val="auto"/>
          <w:kern w:val="2"/>
          <w:sz w:val="21"/>
          <w:highlight w:val="none"/>
          <w:lang w:val="en-US" w:eastAsia="zh-CN" w:bidi="ar-SA"/>
        </w:rPr>
        <w:t>2.</w:t>
      </w:r>
      <w:r>
        <w:rPr>
          <w:rFonts w:hint="eastAsia" w:ascii="宋体" w:hAnsi="宋体" w:eastAsia="宋体"/>
          <w:color w:val="auto"/>
          <w:sz w:val="24"/>
          <w:highlight w:val="none"/>
        </w:rPr>
        <w:t>合同期满</w:t>
      </w:r>
      <w:r>
        <w:rPr>
          <w:rFonts w:hint="eastAsia" w:ascii="宋体" w:hAnsi="宋体" w:eastAsia="宋体"/>
          <w:color w:val="auto"/>
          <w:sz w:val="24"/>
          <w:highlight w:val="none"/>
          <w:lang w:val="en-US" w:eastAsia="zh-CN"/>
        </w:rPr>
        <w:t>3次</w:t>
      </w:r>
      <w:r>
        <w:rPr>
          <w:rFonts w:hint="eastAsia" w:ascii="宋体" w:hAnsi="宋体" w:eastAsia="宋体"/>
          <w:color w:val="auto"/>
          <w:sz w:val="24"/>
          <w:highlight w:val="none"/>
        </w:rPr>
        <w:t>考核</w:t>
      </w:r>
      <w:r>
        <w:rPr>
          <w:rFonts w:hint="eastAsia" w:ascii="宋体" w:hAnsi="宋体" w:eastAsia="宋体"/>
          <w:color w:val="auto"/>
          <w:sz w:val="24"/>
          <w:highlight w:val="none"/>
          <w:lang w:val="en-US" w:eastAsia="zh-CN"/>
        </w:rPr>
        <w:t>平均分</w:t>
      </w:r>
      <w:r>
        <w:rPr>
          <w:rFonts w:ascii="宋体" w:hAnsi="宋体" w:eastAsia="宋体"/>
          <w:color w:val="auto"/>
          <w:sz w:val="24"/>
          <w:highlight w:val="none"/>
        </w:rPr>
        <w:t>≥70分为合格</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3次</w:t>
      </w:r>
      <w:r>
        <w:rPr>
          <w:rFonts w:hint="eastAsia" w:ascii="宋体" w:hAnsi="宋体" w:eastAsia="宋体"/>
          <w:color w:val="auto"/>
          <w:sz w:val="24"/>
          <w:highlight w:val="none"/>
        </w:rPr>
        <w:t>考核</w:t>
      </w:r>
      <w:r>
        <w:rPr>
          <w:rFonts w:hint="eastAsia" w:ascii="宋体" w:hAnsi="宋体" w:eastAsia="宋体"/>
          <w:color w:val="auto"/>
          <w:sz w:val="24"/>
          <w:highlight w:val="none"/>
          <w:lang w:val="en-US" w:eastAsia="zh-CN"/>
        </w:rPr>
        <w:t>平均分</w:t>
      </w:r>
      <w:r>
        <w:rPr>
          <w:rFonts w:hint="eastAsia" w:ascii="宋体" w:hAnsi="宋体" w:eastAsia="宋体"/>
          <w:color w:val="auto"/>
          <w:sz w:val="24"/>
          <w:highlight w:val="none"/>
        </w:rPr>
        <w:t>＜</w:t>
      </w:r>
      <w:r>
        <w:rPr>
          <w:rFonts w:ascii="宋体" w:hAnsi="宋体" w:eastAsia="宋体"/>
          <w:color w:val="auto"/>
          <w:sz w:val="24"/>
          <w:highlight w:val="none"/>
        </w:rPr>
        <w:t>70分为不合格，</w:t>
      </w:r>
      <w:r>
        <w:rPr>
          <w:rFonts w:hint="eastAsia" w:ascii="宋体" w:hAnsi="宋体" w:eastAsia="宋体"/>
          <w:color w:val="auto"/>
          <w:sz w:val="24"/>
          <w:highlight w:val="none"/>
          <w:lang w:val="en-US" w:eastAsia="zh-CN"/>
        </w:rPr>
        <w:t>扣除带宽费用的5%。</w:t>
      </w:r>
    </w:p>
    <w:p w14:paraId="04A3AA7F">
      <w:pPr>
        <w:spacing w:line="360" w:lineRule="auto"/>
        <w:ind w:firstLine="437"/>
        <w:rPr>
          <w:rFonts w:hint="eastAsia" w:ascii="宋体" w:hAnsi="宋体" w:eastAsia="宋体" w:cs="宋体"/>
          <w:b/>
          <w:bCs/>
          <w:color w:val="auto"/>
          <w:sz w:val="24"/>
          <w:szCs w:val="18"/>
          <w:highlight w:val="none"/>
          <w:lang w:val="en-US" w:eastAsia="zh-CN"/>
        </w:rPr>
      </w:pPr>
      <w:r>
        <w:rPr>
          <w:rFonts w:hint="eastAsia" w:ascii="宋体" w:hAnsi="宋体" w:eastAsia="宋体" w:cs="宋体"/>
          <w:b/>
          <w:bCs/>
          <w:color w:val="auto"/>
          <w:sz w:val="24"/>
          <w:szCs w:val="18"/>
          <w:highlight w:val="none"/>
          <w:lang w:val="en-US" w:eastAsia="zh-CN"/>
        </w:rPr>
        <w:t>七</w:t>
      </w:r>
      <w:r>
        <w:rPr>
          <w:rFonts w:hint="eastAsia" w:ascii="宋体" w:hAnsi="宋体" w:eastAsia="宋体" w:cs="宋体"/>
          <w:b/>
          <w:bCs/>
          <w:color w:val="auto"/>
          <w:sz w:val="24"/>
          <w:szCs w:val="18"/>
          <w:highlight w:val="none"/>
        </w:rPr>
        <w:t>、</w:t>
      </w:r>
      <w:r>
        <w:rPr>
          <w:rFonts w:hint="eastAsia" w:ascii="宋体" w:hAnsi="宋体" w:eastAsia="宋体" w:cs="宋体"/>
          <w:b/>
          <w:bCs/>
          <w:color w:val="auto"/>
          <w:sz w:val="24"/>
          <w:szCs w:val="18"/>
          <w:highlight w:val="none"/>
          <w:lang w:val="en-US" w:eastAsia="zh-CN"/>
        </w:rPr>
        <w:t>违约处理</w:t>
      </w:r>
    </w:p>
    <w:p w14:paraId="6B331944">
      <w:pPr>
        <w:pStyle w:val="7"/>
        <w:numPr>
          <w:ilvl w:val="0"/>
          <w:numId w:val="0"/>
        </w:numPr>
        <w:spacing w:line="360" w:lineRule="auto"/>
        <w:ind w:left="0" w:leftChars="0" w:firstLine="480" w:firstLineChars="200"/>
        <w:jc w:val="left"/>
        <w:rPr>
          <w:rFonts w:ascii="宋体" w:hAnsi="宋体" w:eastAsia="宋体"/>
          <w:color w:val="auto"/>
          <w:sz w:val="24"/>
          <w:highlight w:val="none"/>
        </w:rPr>
      </w:pPr>
      <w:r>
        <w:rPr>
          <w:rFonts w:ascii="宋体" w:hAnsi="宋体" w:eastAsia="宋体" w:cs="@仿宋_GB2312"/>
          <w:color w:val="auto"/>
          <w:kern w:val="2"/>
          <w:sz w:val="24"/>
          <w:lang w:val="en-US" w:eastAsia="zh-CN" w:bidi="ar-SA"/>
        </w:rPr>
        <w:t>1.</w:t>
      </w:r>
      <w:r>
        <w:rPr>
          <w:rFonts w:hint="eastAsia" w:ascii="宋体" w:hAnsi="宋体" w:eastAsia="宋体"/>
          <w:color w:val="auto"/>
          <w:sz w:val="24"/>
          <w:highlight w:val="none"/>
        </w:rPr>
        <w:t>服务单位</w:t>
      </w:r>
      <w:r>
        <w:rPr>
          <w:rFonts w:ascii="宋体" w:hAnsi="宋体" w:eastAsia="宋体"/>
          <w:color w:val="auto"/>
          <w:sz w:val="24"/>
          <w:highlight w:val="none"/>
        </w:rPr>
        <w:t>提供的服务不符合</w:t>
      </w:r>
      <w:r>
        <w:rPr>
          <w:rFonts w:hint="eastAsia" w:ascii="宋体" w:hAnsi="宋体" w:eastAsia="宋体"/>
          <w:color w:val="auto"/>
          <w:sz w:val="24"/>
          <w:highlight w:val="none"/>
        </w:rPr>
        <w:t>采购</w:t>
      </w:r>
      <w:r>
        <w:rPr>
          <w:rFonts w:ascii="宋体" w:hAnsi="宋体" w:eastAsia="宋体"/>
          <w:color w:val="auto"/>
          <w:sz w:val="24"/>
          <w:highlight w:val="none"/>
        </w:rPr>
        <w:t>文件、</w:t>
      </w:r>
      <w:r>
        <w:rPr>
          <w:rFonts w:hint="eastAsia" w:ascii="宋体" w:hAnsi="宋体" w:eastAsia="宋体"/>
          <w:color w:val="auto"/>
          <w:sz w:val="24"/>
          <w:highlight w:val="none"/>
        </w:rPr>
        <w:t>其</w:t>
      </w:r>
      <w:r>
        <w:rPr>
          <w:rFonts w:ascii="宋体" w:hAnsi="宋体" w:eastAsia="宋体"/>
          <w:color w:val="auto"/>
          <w:sz w:val="24"/>
          <w:highlight w:val="none"/>
        </w:rPr>
        <w:t>提供的响应文件及合同</w:t>
      </w:r>
      <w:r>
        <w:rPr>
          <w:rFonts w:hint="eastAsia" w:ascii="宋体" w:hAnsi="宋体" w:eastAsia="宋体"/>
          <w:color w:val="auto"/>
          <w:sz w:val="24"/>
          <w:highlight w:val="none"/>
        </w:rPr>
        <w:t>约</w:t>
      </w:r>
      <w:r>
        <w:rPr>
          <w:rFonts w:ascii="宋体" w:hAnsi="宋体" w:eastAsia="宋体"/>
          <w:color w:val="auto"/>
          <w:sz w:val="24"/>
          <w:highlight w:val="none"/>
        </w:rPr>
        <w:t>定的，</w:t>
      </w:r>
      <w:r>
        <w:rPr>
          <w:rFonts w:hint="eastAsia" w:ascii="宋体" w:hAnsi="宋体" w:eastAsia="宋体"/>
          <w:color w:val="auto"/>
          <w:sz w:val="24"/>
          <w:highlight w:val="none"/>
        </w:rPr>
        <w:t>服务提供方须向学校支付合同价款的</w:t>
      </w:r>
      <w:r>
        <w:rPr>
          <w:rFonts w:ascii="宋体" w:hAnsi="宋体" w:eastAsia="宋体"/>
          <w:color w:val="auto"/>
          <w:sz w:val="24"/>
          <w:highlight w:val="none"/>
        </w:rPr>
        <w:t>5%的违约金</w:t>
      </w:r>
      <w:r>
        <w:rPr>
          <w:rFonts w:hint="eastAsia" w:ascii="宋体" w:hAnsi="宋体" w:eastAsia="宋体"/>
          <w:color w:val="auto"/>
          <w:sz w:val="24"/>
          <w:highlight w:val="none"/>
        </w:rPr>
        <w:t>，</w:t>
      </w:r>
      <w:r>
        <w:rPr>
          <w:rFonts w:ascii="宋体" w:hAnsi="宋体" w:eastAsia="宋体"/>
          <w:color w:val="auto"/>
          <w:sz w:val="24"/>
          <w:highlight w:val="none"/>
        </w:rPr>
        <w:t>经</w:t>
      </w:r>
      <w:r>
        <w:rPr>
          <w:rFonts w:hint="eastAsia" w:ascii="宋体" w:hAnsi="宋体" w:eastAsia="宋体"/>
          <w:color w:val="auto"/>
          <w:sz w:val="24"/>
          <w:highlight w:val="none"/>
        </w:rPr>
        <w:t>学校</w:t>
      </w:r>
      <w:r>
        <w:rPr>
          <w:rFonts w:ascii="宋体" w:hAnsi="宋体" w:eastAsia="宋体"/>
          <w:color w:val="auto"/>
          <w:sz w:val="24"/>
          <w:highlight w:val="none"/>
        </w:rPr>
        <w:t>书面通知后7个工作日内</w:t>
      </w:r>
      <w:r>
        <w:rPr>
          <w:rFonts w:hint="eastAsia" w:ascii="宋体" w:hAnsi="宋体" w:eastAsia="宋体"/>
          <w:color w:val="auto"/>
          <w:sz w:val="24"/>
          <w:highlight w:val="none"/>
        </w:rPr>
        <w:t>服务单位</w:t>
      </w:r>
      <w:r>
        <w:rPr>
          <w:rFonts w:ascii="宋体" w:hAnsi="宋体" w:eastAsia="宋体"/>
          <w:color w:val="auto"/>
          <w:sz w:val="24"/>
          <w:highlight w:val="none"/>
        </w:rPr>
        <w:t>方仍未提供达到合同约定的服务要求，</w:t>
      </w:r>
      <w:r>
        <w:rPr>
          <w:rFonts w:hint="eastAsia" w:ascii="宋体" w:hAnsi="宋体" w:eastAsia="宋体"/>
          <w:color w:val="auto"/>
          <w:sz w:val="24"/>
          <w:highlight w:val="none"/>
        </w:rPr>
        <w:t>学校</w:t>
      </w:r>
      <w:r>
        <w:rPr>
          <w:rFonts w:ascii="宋体" w:hAnsi="宋体" w:eastAsia="宋体"/>
          <w:color w:val="auto"/>
          <w:sz w:val="24"/>
          <w:highlight w:val="none"/>
        </w:rPr>
        <w:t>有权终止合同</w:t>
      </w:r>
      <w:r>
        <w:rPr>
          <w:rFonts w:hint="eastAsia" w:ascii="宋体" w:hAnsi="宋体" w:eastAsia="宋体"/>
          <w:color w:val="auto"/>
          <w:sz w:val="24"/>
          <w:highlight w:val="none"/>
        </w:rPr>
        <w:t>，由此造成的学校经济损失由服务单位承担。</w:t>
      </w:r>
    </w:p>
    <w:p w14:paraId="4EA925D7">
      <w:pPr>
        <w:pStyle w:val="7"/>
        <w:numPr>
          <w:ilvl w:val="0"/>
          <w:numId w:val="0"/>
        </w:numPr>
        <w:spacing w:line="360" w:lineRule="auto"/>
        <w:ind w:left="0" w:leftChars="0" w:firstLine="480" w:firstLineChars="200"/>
        <w:jc w:val="left"/>
        <w:rPr>
          <w:rFonts w:ascii="宋体" w:hAnsi="宋体" w:eastAsia="宋体"/>
          <w:color w:val="auto"/>
          <w:sz w:val="24"/>
          <w:highlight w:val="none"/>
        </w:rPr>
      </w:pPr>
      <w:r>
        <w:rPr>
          <w:rFonts w:ascii="宋体" w:hAnsi="宋体" w:eastAsia="宋体" w:cs="@仿宋_GB2312"/>
          <w:color w:val="auto"/>
          <w:kern w:val="2"/>
          <w:sz w:val="24"/>
          <w:lang w:val="en-US" w:eastAsia="zh-CN" w:bidi="ar-SA"/>
        </w:rPr>
        <w:t>2.</w:t>
      </w:r>
      <w:r>
        <w:rPr>
          <w:rFonts w:hint="eastAsia" w:ascii="宋体" w:hAnsi="宋体" w:eastAsia="宋体"/>
          <w:color w:val="auto"/>
          <w:sz w:val="24"/>
          <w:highlight w:val="none"/>
        </w:rPr>
        <w:t>服务单位</w:t>
      </w:r>
      <w:r>
        <w:rPr>
          <w:rFonts w:ascii="宋体" w:hAnsi="宋体" w:eastAsia="宋体"/>
          <w:color w:val="auto"/>
          <w:sz w:val="24"/>
          <w:highlight w:val="none"/>
        </w:rPr>
        <w:t>未能按合同规定的交货时间提供服务或未能按期履行完合同，从逾期之日起每日按合同价款的0.2%的数额向甲方支付违约金；逾期半个月以上的，</w:t>
      </w:r>
      <w:r>
        <w:rPr>
          <w:rFonts w:hint="eastAsia" w:ascii="宋体" w:hAnsi="宋体" w:eastAsia="宋体"/>
          <w:color w:val="auto"/>
          <w:sz w:val="24"/>
          <w:highlight w:val="none"/>
        </w:rPr>
        <w:t>学校</w:t>
      </w:r>
      <w:r>
        <w:rPr>
          <w:rFonts w:ascii="宋体" w:hAnsi="宋体" w:eastAsia="宋体"/>
          <w:color w:val="auto"/>
          <w:sz w:val="24"/>
          <w:highlight w:val="none"/>
        </w:rPr>
        <w:t>有权终止合同</w:t>
      </w:r>
      <w:r>
        <w:rPr>
          <w:rFonts w:hint="eastAsia" w:ascii="宋体" w:hAnsi="宋体" w:eastAsia="宋体"/>
          <w:color w:val="auto"/>
          <w:sz w:val="24"/>
          <w:highlight w:val="none"/>
        </w:rPr>
        <w:t>。</w:t>
      </w:r>
    </w:p>
    <w:p w14:paraId="57C07BC9">
      <w:pPr>
        <w:pStyle w:val="7"/>
        <w:numPr>
          <w:ilvl w:val="0"/>
          <w:numId w:val="0"/>
        </w:numPr>
        <w:spacing w:line="360" w:lineRule="auto"/>
        <w:ind w:left="0" w:leftChars="0" w:firstLine="480" w:firstLineChars="200"/>
        <w:jc w:val="left"/>
        <w:rPr>
          <w:rFonts w:ascii="宋体" w:hAnsi="宋体" w:eastAsia="宋体"/>
          <w:color w:val="auto"/>
          <w:sz w:val="24"/>
          <w:highlight w:val="none"/>
        </w:rPr>
      </w:pPr>
      <w:r>
        <w:rPr>
          <w:rFonts w:ascii="宋体" w:hAnsi="宋体" w:eastAsia="宋体" w:cs="@仿宋_GB2312"/>
          <w:color w:val="auto"/>
          <w:kern w:val="2"/>
          <w:sz w:val="24"/>
          <w:lang w:val="en-US" w:eastAsia="zh-CN" w:bidi="ar-SA"/>
        </w:rPr>
        <w:t>3.</w:t>
      </w:r>
      <w:r>
        <w:rPr>
          <w:rFonts w:hint="eastAsia" w:ascii="宋体" w:hAnsi="宋体" w:eastAsia="宋体"/>
          <w:color w:val="auto"/>
          <w:sz w:val="24"/>
          <w:highlight w:val="none"/>
        </w:rPr>
        <w:t>因服务提供方的原因造成的链路问题，服务单位应10分钟内响应，在</w:t>
      </w:r>
      <w:r>
        <w:rPr>
          <w:rFonts w:ascii="宋体" w:hAnsi="宋体" w:eastAsia="宋体"/>
          <w:color w:val="auto"/>
          <w:sz w:val="24"/>
          <w:highlight w:val="none"/>
        </w:rPr>
        <w:t>4</w:t>
      </w:r>
      <w:r>
        <w:rPr>
          <w:rFonts w:hint="eastAsia" w:ascii="宋体" w:hAnsi="宋体" w:eastAsia="宋体"/>
          <w:color w:val="auto"/>
          <w:sz w:val="24"/>
          <w:highlight w:val="none"/>
        </w:rPr>
        <w:t>小时内修复（不可抗力除外）；如果无法达标，服务单位为学校提供的服务应免费延长1个月作为对学校的补偿。</w:t>
      </w:r>
      <w:bookmarkStart w:id="0" w:name="_GoBack"/>
      <w:bookmarkEnd w:id="0"/>
    </w:p>
    <w:p w14:paraId="0D163195">
      <w:pPr>
        <w:pStyle w:val="7"/>
        <w:numPr>
          <w:ilvl w:val="0"/>
          <w:numId w:val="0"/>
        </w:numPr>
        <w:spacing w:line="360" w:lineRule="auto"/>
        <w:ind w:left="0" w:leftChars="0" w:firstLine="480" w:firstLineChars="200"/>
        <w:jc w:val="left"/>
        <w:rPr>
          <w:rFonts w:ascii="宋体" w:hAnsi="宋体" w:eastAsia="宋体"/>
          <w:color w:val="auto"/>
          <w:sz w:val="24"/>
          <w:highlight w:val="none"/>
        </w:rPr>
      </w:pPr>
      <w:r>
        <w:rPr>
          <w:rFonts w:ascii="宋体" w:hAnsi="宋体" w:eastAsia="宋体" w:cs="@仿宋_GB2312"/>
          <w:color w:val="auto"/>
          <w:kern w:val="2"/>
          <w:sz w:val="24"/>
          <w:lang w:val="en-US" w:eastAsia="zh-CN" w:bidi="ar-SA"/>
        </w:rPr>
        <w:t>4.</w:t>
      </w:r>
      <w:r>
        <w:rPr>
          <w:rFonts w:hint="eastAsia" w:ascii="宋体" w:hAnsi="宋体" w:eastAsia="宋体"/>
          <w:color w:val="auto"/>
          <w:sz w:val="24"/>
          <w:highlight w:val="none"/>
        </w:rPr>
        <w:t>服务提供单位因施工、网络割接及网络调整等可能对带宽服务造成影响时，将视为保障事故，学校可要求服务单位免费延长1个月作为对学校的补偿</w:t>
      </w:r>
      <w:r>
        <w:rPr>
          <w:rFonts w:hint="eastAsia" w:ascii="宋体" w:hAnsi="宋体" w:eastAsia="宋体"/>
          <w:color w:val="auto"/>
          <w:sz w:val="24"/>
          <w:highlight w:val="none"/>
          <w:lang w:eastAsia="zh-CN"/>
        </w:rPr>
        <w:t>。</w:t>
      </w:r>
      <w:r>
        <w:rPr>
          <w:rFonts w:ascii="宋体" w:hAnsi="宋体" w:eastAsia="宋体"/>
          <w:color w:val="auto"/>
          <w:sz w:val="24"/>
          <w:highlight w:val="none"/>
        </w:rPr>
        <w:t>如果存在违约情况，</w:t>
      </w:r>
      <w:r>
        <w:rPr>
          <w:rFonts w:hint="eastAsia" w:ascii="宋体" w:hAnsi="宋体" w:eastAsia="宋体"/>
          <w:color w:val="auto"/>
          <w:sz w:val="24"/>
          <w:highlight w:val="none"/>
        </w:rPr>
        <w:t>学校可</w:t>
      </w:r>
      <w:r>
        <w:rPr>
          <w:rFonts w:ascii="宋体" w:hAnsi="宋体" w:eastAsia="宋体"/>
          <w:color w:val="auto"/>
          <w:sz w:val="24"/>
          <w:highlight w:val="none"/>
        </w:rPr>
        <w:t>在</w:t>
      </w:r>
      <w:r>
        <w:rPr>
          <w:rFonts w:hint="eastAsia" w:ascii="宋体" w:hAnsi="宋体" w:eastAsia="宋体"/>
          <w:color w:val="auto"/>
          <w:sz w:val="24"/>
          <w:highlight w:val="none"/>
        </w:rPr>
        <w:t>合同支付</w:t>
      </w:r>
      <w:r>
        <w:rPr>
          <w:rFonts w:ascii="宋体" w:hAnsi="宋体" w:eastAsia="宋体"/>
          <w:color w:val="auto"/>
          <w:sz w:val="24"/>
          <w:highlight w:val="none"/>
        </w:rPr>
        <w:t>结算时扣除相应的违约费用</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并向服务方追究损失赔偿</w:t>
      </w:r>
      <w:r>
        <w:rPr>
          <w:rFonts w:hint="eastAsia" w:ascii="宋体" w:hAnsi="宋体" w:eastAsia="宋体"/>
          <w:color w:val="auto"/>
          <w:sz w:val="24"/>
          <w:highlight w:val="none"/>
        </w:rPr>
        <w:t>。</w:t>
      </w:r>
    </w:p>
    <w:p w14:paraId="27C4150D">
      <w:pPr>
        <w:spacing w:line="360" w:lineRule="auto"/>
        <w:ind w:firstLine="1843" w:firstLineChars="658"/>
        <w:jc w:val="center"/>
        <w:rPr>
          <w:color w:val="auto"/>
          <w:highlight w:val="none"/>
        </w:rPr>
      </w:pPr>
      <w:r>
        <w:rPr>
          <w:rFonts w:hint="eastAsia" w:ascii="等线" w:hAnsi="等线" w:eastAsia="等线" w:cs="宋体"/>
          <w:b/>
          <w:bCs/>
          <w:color w:val="auto"/>
          <w:kern w:val="0"/>
          <w:sz w:val="28"/>
          <w:szCs w:val="28"/>
          <w:highlight w:val="none"/>
        </w:rPr>
        <w:t xml:space="preserve">出口带宽服务质量考核评分表 </w:t>
      </w:r>
      <w:r>
        <w:rPr>
          <w:rFonts w:ascii="等线" w:hAnsi="等线" w:eastAsia="等线" w:cs="宋体"/>
          <w:b/>
          <w:bCs/>
          <w:color w:val="auto"/>
          <w:kern w:val="0"/>
          <w:sz w:val="28"/>
          <w:szCs w:val="28"/>
          <w:highlight w:val="none"/>
        </w:rPr>
        <w:t xml:space="preserve"> </w:t>
      </w:r>
      <w:r>
        <w:rPr>
          <w:rFonts w:hint="eastAsia" w:ascii="等线" w:hAnsi="等线" w:eastAsia="等线" w:cs="宋体"/>
          <w:b/>
          <w:bCs/>
          <w:color w:val="auto"/>
          <w:kern w:val="0"/>
          <w:sz w:val="28"/>
          <w:szCs w:val="28"/>
          <w:highlight w:val="none"/>
        </w:rPr>
        <w:t xml:space="preserve"> </w:t>
      </w:r>
      <w:r>
        <w:rPr>
          <w:rFonts w:ascii="等线" w:hAnsi="等线" w:eastAsia="等线" w:cs="宋体"/>
          <w:b/>
          <w:bCs/>
          <w:color w:val="auto"/>
          <w:kern w:val="0"/>
          <w:sz w:val="28"/>
          <w:szCs w:val="28"/>
          <w:highlight w:val="none"/>
        </w:rPr>
        <w:t xml:space="preserve">  </w:t>
      </w:r>
      <w:r>
        <w:rPr>
          <w:rFonts w:hint="eastAsia" w:ascii="宋体" w:hAnsi="宋体" w:eastAsia="宋体" w:cs="宋体"/>
          <w:b/>
          <w:bCs/>
          <w:color w:val="auto"/>
          <w:kern w:val="0"/>
          <w:sz w:val="24"/>
          <w:szCs w:val="24"/>
          <w:highlight w:val="none"/>
        </w:rPr>
        <w:t xml:space="preserve">    年 </w:t>
      </w:r>
      <w:r>
        <w:rPr>
          <w:rFonts w:ascii="宋体" w:hAnsi="宋体" w:eastAsia="宋体" w:cs="宋体"/>
          <w:b/>
          <w:bCs/>
          <w:color w:val="auto"/>
          <w:kern w:val="0"/>
          <w:sz w:val="24"/>
          <w:szCs w:val="24"/>
          <w:highlight w:val="none"/>
        </w:rPr>
        <w:t xml:space="preserve"> </w:t>
      </w:r>
      <w:r>
        <w:rPr>
          <w:rFonts w:hint="eastAsia" w:ascii="宋体" w:hAnsi="宋体" w:eastAsia="宋体" w:cs="宋体"/>
          <w:b/>
          <w:bCs/>
          <w:color w:val="auto"/>
          <w:kern w:val="0"/>
          <w:sz w:val="24"/>
          <w:szCs w:val="24"/>
          <w:highlight w:val="none"/>
        </w:rPr>
        <w:t xml:space="preserve"> 月 </w:t>
      </w:r>
      <w:r>
        <w:rPr>
          <w:rFonts w:ascii="宋体" w:hAnsi="宋体" w:eastAsia="宋体" w:cs="宋体"/>
          <w:b/>
          <w:bCs/>
          <w:color w:val="auto"/>
          <w:kern w:val="0"/>
          <w:sz w:val="24"/>
          <w:szCs w:val="24"/>
          <w:highlight w:val="none"/>
        </w:rPr>
        <w:t xml:space="preserve">  </w:t>
      </w:r>
      <w:r>
        <w:rPr>
          <w:rFonts w:hint="eastAsia" w:ascii="宋体" w:hAnsi="宋体" w:eastAsia="宋体" w:cs="宋体"/>
          <w:b/>
          <w:bCs/>
          <w:color w:val="auto"/>
          <w:kern w:val="0"/>
          <w:sz w:val="24"/>
          <w:szCs w:val="24"/>
          <w:highlight w:val="none"/>
        </w:rPr>
        <w:t>日</w:t>
      </w:r>
    </w:p>
    <w:tbl>
      <w:tblPr>
        <w:tblStyle w:val="3"/>
        <w:tblW w:w="5030" w:type="pct"/>
        <w:jc w:val="center"/>
        <w:tblLayout w:type="fixed"/>
        <w:tblCellMar>
          <w:top w:w="0" w:type="dxa"/>
          <w:left w:w="108" w:type="dxa"/>
          <w:bottom w:w="0" w:type="dxa"/>
          <w:right w:w="108" w:type="dxa"/>
        </w:tblCellMar>
      </w:tblPr>
      <w:tblGrid>
        <w:gridCol w:w="338"/>
        <w:gridCol w:w="1461"/>
        <w:gridCol w:w="4435"/>
        <w:gridCol w:w="769"/>
        <w:gridCol w:w="860"/>
        <w:gridCol w:w="711"/>
      </w:tblGrid>
      <w:tr w14:paraId="0B246995">
        <w:tblPrEx>
          <w:tblCellMar>
            <w:top w:w="0" w:type="dxa"/>
            <w:left w:w="108" w:type="dxa"/>
            <w:bottom w:w="0" w:type="dxa"/>
            <w:right w:w="108" w:type="dxa"/>
          </w:tblCellMar>
        </w:tblPrEx>
        <w:trPr>
          <w:trHeight w:val="793" w:hRule="atLeast"/>
          <w:jc w:val="center"/>
        </w:trPr>
        <w:tc>
          <w:tcPr>
            <w:tcW w:w="104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1B479D">
            <w:pPr>
              <w:jc w:val="lef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考核对象：</w:t>
            </w:r>
            <w:r>
              <w:rPr>
                <w:rFonts w:ascii="宋体" w:hAnsi="宋体" w:eastAsia="宋体" w:cs="宋体"/>
                <w:b/>
                <w:bCs/>
                <w:color w:val="auto"/>
                <w:kern w:val="0"/>
                <w:sz w:val="24"/>
                <w:szCs w:val="24"/>
                <w:highlight w:val="none"/>
              </w:rPr>
              <w:t xml:space="preserve"> </w:t>
            </w:r>
          </w:p>
        </w:tc>
        <w:tc>
          <w:tcPr>
            <w:tcW w:w="3950" w:type="pct"/>
            <w:gridSpan w:val="4"/>
            <w:tcBorders>
              <w:top w:val="single" w:color="auto" w:sz="4" w:space="0"/>
              <w:left w:val="nil"/>
              <w:bottom w:val="single" w:color="auto" w:sz="4" w:space="0"/>
              <w:right w:val="single" w:color="auto" w:sz="4" w:space="0"/>
            </w:tcBorders>
            <w:shd w:val="clear" w:color="auto" w:fill="auto"/>
            <w:noWrap/>
            <w:vAlign w:val="center"/>
          </w:tcPr>
          <w:p w14:paraId="7ABF366B">
            <w:pPr>
              <w:jc w:val="lef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考核人员：</w:t>
            </w:r>
          </w:p>
        </w:tc>
      </w:tr>
      <w:tr w14:paraId="5A52E447">
        <w:tblPrEx>
          <w:tblCellMar>
            <w:top w:w="0" w:type="dxa"/>
            <w:left w:w="108" w:type="dxa"/>
            <w:bottom w:w="0" w:type="dxa"/>
            <w:right w:w="108" w:type="dxa"/>
          </w:tblCellMar>
        </w:tblPrEx>
        <w:trPr>
          <w:trHeight w:val="765" w:hRule="atLeast"/>
          <w:jc w:val="center"/>
        </w:trPr>
        <w:tc>
          <w:tcPr>
            <w:tcW w:w="196" w:type="pct"/>
            <w:tcBorders>
              <w:top w:val="nil"/>
              <w:left w:val="single" w:color="auto" w:sz="4" w:space="0"/>
              <w:bottom w:val="single" w:color="auto" w:sz="4" w:space="0"/>
              <w:right w:val="single" w:color="auto" w:sz="4" w:space="0"/>
            </w:tcBorders>
            <w:shd w:val="clear" w:color="auto" w:fill="auto"/>
            <w:noWrap/>
            <w:vAlign w:val="center"/>
          </w:tcPr>
          <w:p w14:paraId="63BC160A">
            <w:pPr>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852" w:type="pct"/>
            <w:tcBorders>
              <w:top w:val="nil"/>
              <w:left w:val="nil"/>
              <w:bottom w:val="single" w:color="auto" w:sz="4" w:space="0"/>
              <w:right w:val="single" w:color="auto" w:sz="4" w:space="0"/>
            </w:tcBorders>
            <w:shd w:val="clear" w:color="auto" w:fill="auto"/>
            <w:noWrap/>
            <w:vAlign w:val="center"/>
          </w:tcPr>
          <w:p w14:paraId="38114838">
            <w:pPr>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考核内容</w:t>
            </w:r>
          </w:p>
        </w:tc>
        <w:tc>
          <w:tcPr>
            <w:tcW w:w="2586" w:type="pct"/>
            <w:tcBorders>
              <w:top w:val="nil"/>
              <w:left w:val="nil"/>
              <w:bottom w:val="single" w:color="auto" w:sz="4" w:space="0"/>
              <w:right w:val="single" w:color="auto" w:sz="4" w:space="0"/>
            </w:tcBorders>
            <w:shd w:val="clear" w:color="auto" w:fill="auto"/>
            <w:noWrap/>
            <w:vAlign w:val="center"/>
          </w:tcPr>
          <w:p w14:paraId="41CD6527">
            <w:pPr>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考核标准</w:t>
            </w:r>
          </w:p>
        </w:tc>
        <w:tc>
          <w:tcPr>
            <w:tcW w:w="448" w:type="pct"/>
            <w:tcBorders>
              <w:top w:val="nil"/>
              <w:left w:val="nil"/>
              <w:bottom w:val="single" w:color="auto" w:sz="4" w:space="0"/>
              <w:right w:val="single" w:color="auto" w:sz="4" w:space="0"/>
            </w:tcBorders>
            <w:shd w:val="clear" w:color="auto" w:fill="auto"/>
            <w:noWrap/>
            <w:vAlign w:val="center"/>
          </w:tcPr>
          <w:p w14:paraId="003BC9AD">
            <w:pPr>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所占分值</w:t>
            </w:r>
          </w:p>
        </w:tc>
        <w:tc>
          <w:tcPr>
            <w:tcW w:w="501" w:type="pct"/>
            <w:tcBorders>
              <w:top w:val="nil"/>
              <w:left w:val="nil"/>
              <w:bottom w:val="single" w:color="auto" w:sz="4" w:space="0"/>
              <w:right w:val="single" w:color="auto" w:sz="4" w:space="0"/>
            </w:tcBorders>
            <w:shd w:val="clear" w:color="auto" w:fill="auto"/>
            <w:noWrap/>
            <w:vAlign w:val="center"/>
          </w:tcPr>
          <w:p w14:paraId="69F695D8">
            <w:pPr>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考核得分</w:t>
            </w:r>
          </w:p>
        </w:tc>
        <w:tc>
          <w:tcPr>
            <w:tcW w:w="414" w:type="pct"/>
            <w:tcBorders>
              <w:top w:val="nil"/>
              <w:left w:val="nil"/>
              <w:bottom w:val="single" w:color="auto" w:sz="4" w:space="0"/>
              <w:right w:val="single" w:color="auto" w:sz="4" w:space="0"/>
            </w:tcBorders>
            <w:shd w:val="clear" w:color="auto" w:fill="auto"/>
            <w:noWrap/>
            <w:vAlign w:val="center"/>
          </w:tcPr>
          <w:p w14:paraId="14403BB2">
            <w:pPr>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14:paraId="5C37DDA2">
        <w:tblPrEx>
          <w:tblCellMar>
            <w:top w:w="0" w:type="dxa"/>
            <w:left w:w="108" w:type="dxa"/>
            <w:bottom w:w="0" w:type="dxa"/>
            <w:right w:w="108" w:type="dxa"/>
          </w:tblCellMar>
        </w:tblPrEx>
        <w:trPr>
          <w:trHeight w:val="825" w:hRule="atLeast"/>
          <w:jc w:val="center"/>
        </w:trPr>
        <w:tc>
          <w:tcPr>
            <w:tcW w:w="196" w:type="pct"/>
            <w:tcBorders>
              <w:top w:val="nil"/>
              <w:left w:val="single" w:color="auto" w:sz="4" w:space="0"/>
              <w:bottom w:val="single" w:color="auto" w:sz="4" w:space="0"/>
              <w:right w:val="single" w:color="auto" w:sz="4" w:space="0"/>
            </w:tcBorders>
            <w:shd w:val="clear" w:color="auto" w:fill="auto"/>
            <w:noWrap/>
            <w:vAlign w:val="center"/>
          </w:tcPr>
          <w:p w14:paraId="2C250F5A">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52" w:type="pct"/>
            <w:vMerge w:val="restart"/>
            <w:tcBorders>
              <w:top w:val="nil"/>
              <w:left w:val="single" w:color="auto" w:sz="4" w:space="0"/>
              <w:bottom w:val="single" w:color="auto" w:sz="4" w:space="0"/>
              <w:right w:val="single" w:color="auto" w:sz="4" w:space="0"/>
            </w:tcBorders>
            <w:shd w:val="clear" w:color="auto" w:fill="auto"/>
            <w:noWrap/>
            <w:vAlign w:val="center"/>
          </w:tcPr>
          <w:p w14:paraId="3092A0F4">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带宽资源</w:t>
            </w:r>
          </w:p>
        </w:tc>
        <w:tc>
          <w:tcPr>
            <w:tcW w:w="2586" w:type="pct"/>
            <w:tcBorders>
              <w:top w:val="nil"/>
              <w:left w:val="nil"/>
              <w:bottom w:val="single" w:color="auto" w:sz="4" w:space="0"/>
              <w:right w:val="single" w:color="auto" w:sz="4" w:space="0"/>
            </w:tcBorders>
            <w:shd w:val="clear" w:color="auto" w:fill="auto"/>
            <w:vAlign w:val="center"/>
          </w:tcPr>
          <w:p w14:paraId="7C46AE29">
            <w:pPr>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出口带宽要求上下行对等独享，且上下行带宽均不低于合同约定的数量</w:t>
            </w:r>
          </w:p>
        </w:tc>
        <w:tc>
          <w:tcPr>
            <w:tcW w:w="448" w:type="pct"/>
            <w:tcBorders>
              <w:top w:val="nil"/>
              <w:left w:val="nil"/>
              <w:bottom w:val="single" w:color="auto" w:sz="4" w:space="0"/>
              <w:right w:val="single" w:color="auto" w:sz="4" w:space="0"/>
            </w:tcBorders>
            <w:shd w:val="clear" w:color="auto" w:fill="auto"/>
            <w:vAlign w:val="center"/>
          </w:tcPr>
          <w:p w14:paraId="37C4C36A">
            <w:pPr>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10</w:t>
            </w:r>
          </w:p>
        </w:tc>
        <w:tc>
          <w:tcPr>
            <w:tcW w:w="501" w:type="pct"/>
            <w:tcBorders>
              <w:top w:val="nil"/>
              <w:left w:val="nil"/>
              <w:bottom w:val="single" w:color="auto" w:sz="4" w:space="0"/>
              <w:right w:val="single" w:color="auto" w:sz="4" w:space="0"/>
            </w:tcBorders>
            <w:shd w:val="clear" w:color="auto" w:fill="auto"/>
            <w:noWrap/>
            <w:vAlign w:val="bottom"/>
          </w:tcPr>
          <w:p w14:paraId="6433C96C">
            <w:pPr>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414" w:type="pct"/>
            <w:vMerge w:val="restart"/>
            <w:tcBorders>
              <w:top w:val="nil"/>
              <w:left w:val="single" w:color="auto" w:sz="4" w:space="0"/>
              <w:bottom w:val="single" w:color="000000" w:sz="4" w:space="0"/>
              <w:right w:val="single" w:color="auto" w:sz="4" w:space="0"/>
            </w:tcBorders>
            <w:shd w:val="clear" w:color="auto" w:fill="auto"/>
            <w:noWrap/>
            <w:vAlign w:val="bottom"/>
          </w:tcPr>
          <w:p w14:paraId="7017E2D3">
            <w:pPr>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r>
      <w:tr w14:paraId="4AB4F6E9">
        <w:tblPrEx>
          <w:tblCellMar>
            <w:top w:w="0" w:type="dxa"/>
            <w:left w:w="108" w:type="dxa"/>
            <w:bottom w:w="0" w:type="dxa"/>
            <w:right w:w="108" w:type="dxa"/>
          </w:tblCellMar>
        </w:tblPrEx>
        <w:trPr>
          <w:trHeight w:val="450" w:hRule="atLeast"/>
          <w:jc w:val="center"/>
        </w:trPr>
        <w:tc>
          <w:tcPr>
            <w:tcW w:w="196" w:type="pct"/>
            <w:tcBorders>
              <w:top w:val="nil"/>
              <w:left w:val="single" w:color="auto" w:sz="4" w:space="0"/>
              <w:bottom w:val="single" w:color="auto" w:sz="4" w:space="0"/>
              <w:right w:val="single" w:color="auto" w:sz="4" w:space="0"/>
            </w:tcBorders>
            <w:shd w:val="clear" w:color="auto" w:fill="auto"/>
            <w:noWrap/>
            <w:vAlign w:val="center"/>
          </w:tcPr>
          <w:p w14:paraId="3FDFD54D">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52" w:type="pct"/>
            <w:vMerge w:val="continue"/>
            <w:tcBorders>
              <w:top w:val="nil"/>
              <w:left w:val="single" w:color="auto" w:sz="4" w:space="0"/>
              <w:bottom w:val="single" w:color="auto" w:sz="4" w:space="0"/>
              <w:right w:val="single" w:color="auto" w:sz="4" w:space="0"/>
            </w:tcBorders>
            <w:vAlign w:val="center"/>
          </w:tcPr>
          <w:p w14:paraId="030F3F23">
            <w:pPr>
              <w:jc w:val="left"/>
              <w:rPr>
                <w:rFonts w:ascii="宋体" w:hAnsi="宋体" w:eastAsia="宋体" w:cs="宋体"/>
                <w:color w:val="auto"/>
                <w:kern w:val="0"/>
                <w:szCs w:val="21"/>
                <w:highlight w:val="none"/>
              </w:rPr>
            </w:pPr>
          </w:p>
        </w:tc>
        <w:tc>
          <w:tcPr>
            <w:tcW w:w="2586" w:type="pct"/>
            <w:tcBorders>
              <w:top w:val="nil"/>
              <w:left w:val="nil"/>
              <w:bottom w:val="single" w:color="auto" w:sz="4" w:space="0"/>
              <w:right w:val="single" w:color="auto" w:sz="4" w:space="0"/>
            </w:tcBorders>
            <w:shd w:val="clear" w:color="auto" w:fill="auto"/>
            <w:vAlign w:val="center"/>
          </w:tcPr>
          <w:p w14:paraId="5A54BB47">
            <w:pPr>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提供的IPv4和IPv6地址符合合同约定要求</w:t>
            </w:r>
          </w:p>
        </w:tc>
        <w:tc>
          <w:tcPr>
            <w:tcW w:w="448" w:type="pct"/>
            <w:tcBorders>
              <w:top w:val="nil"/>
              <w:left w:val="nil"/>
              <w:bottom w:val="single" w:color="auto" w:sz="4" w:space="0"/>
              <w:right w:val="single" w:color="auto" w:sz="4" w:space="0"/>
            </w:tcBorders>
            <w:shd w:val="clear" w:color="auto" w:fill="auto"/>
            <w:vAlign w:val="center"/>
          </w:tcPr>
          <w:p w14:paraId="5A679977">
            <w:pPr>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w:t>
            </w:r>
          </w:p>
        </w:tc>
        <w:tc>
          <w:tcPr>
            <w:tcW w:w="501" w:type="pct"/>
            <w:tcBorders>
              <w:top w:val="nil"/>
              <w:left w:val="nil"/>
              <w:bottom w:val="single" w:color="auto" w:sz="4" w:space="0"/>
              <w:right w:val="single" w:color="auto" w:sz="4" w:space="0"/>
            </w:tcBorders>
            <w:shd w:val="clear" w:color="auto" w:fill="auto"/>
            <w:noWrap/>
            <w:vAlign w:val="bottom"/>
          </w:tcPr>
          <w:p w14:paraId="028F40B5">
            <w:pPr>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414" w:type="pct"/>
            <w:vMerge w:val="continue"/>
            <w:tcBorders>
              <w:top w:val="nil"/>
              <w:left w:val="single" w:color="auto" w:sz="4" w:space="0"/>
              <w:bottom w:val="single" w:color="000000" w:sz="4" w:space="0"/>
              <w:right w:val="single" w:color="auto" w:sz="4" w:space="0"/>
            </w:tcBorders>
            <w:vAlign w:val="center"/>
          </w:tcPr>
          <w:p w14:paraId="0AEE83D7">
            <w:pPr>
              <w:jc w:val="left"/>
              <w:rPr>
                <w:rFonts w:ascii="宋体" w:hAnsi="宋体" w:eastAsia="宋体" w:cs="宋体"/>
                <w:color w:val="auto"/>
                <w:kern w:val="0"/>
                <w:sz w:val="28"/>
                <w:szCs w:val="28"/>
                <w:highlight w:val="none"/>
              </w:rPr>
            </w:pPr>
          </w:p>
        </w:tc>
      </w:tr>
      <w:tr w14:paraId="77AA1208">
        <w:tblPrEx>
          <w:tblCellMar>
            <w:top w:w="0" w:type="dxa"/>
            <w:left w:w="108" w:type="dxa"/>
            <w:bottom w:w="0" w:type="dxa"/>
            <w:right w:w="108" w:type="dxa"/>
          </w:tblCellMar>
        </w:tblPrEx>
        <w:trPr>
          <w:trHeight w:val="570" w:hRule="atLeast"/>
          <w:jc w:val="center"/>
        </w:trPr>
        <w:tc>
          <w:tcPr>
            <w:tcW w:w="196" w:type="pct"/>
            <w:tcBorders>
              <w:top w:val="nil"/>
              <w:left w:val="single" w:color="auto" w:sz="4" w:space="0"/>
              <w:bottom w:val="single" w:color="auto" w:sz="4" w:space="0"/>
              <w:right w:val="single" w:color="auto" w:sz="4" w:space="0"/>
            </w:tcBorders>
            <w:shd w:val="clear" w:color="auto" w:fill="auto"/>
            <w:noWrap/>
            <w:vAlign w:val="center"/>
          </w:tcPr>
          <w:p w14:paraId="3F584B32">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52" w:type="pct"/>
            <w:vMerge w:val="continue"/>
            <w:tcBorders>
              <w:top w:val="nil"/>
              <w:left w:val="single" w:color="auto" w:sz="4" w:space="0"/>
              <w:bottom w:val="single" w:color="auto" w:sz="4" w:space="0"/>
              <w:right w:val="single" w:color="auto" w:sz="4" w:space="0"/>
            </w:tcBorders>
            <w:vAlign w:val="center"/>
          </w:tcPr>
          <w:p w14:paraId="385D495B">
            <w:pPr>
              <w:jc w:val="left"/>
              <w:rPr>
                <w:rFonts w:ascii="宋体" w:hAnsi="宋体" w:eastAsia="宋体" w:cs="宋体"/>
                <w:color w:val="auto"/>
                <w:kern w:val="0"/>
                <w:szCs w:val="21"/>
                <w:highlight w:val="none"/>
              </w:rPr>
            </w:pPr>
          </w:p>
        </w:tc>
        <w:tc>
          <w:tcPr>
            <w:tcW w:w="2586" w:type="pct"/>
            <w:tcBorders>
              <w:top w:val="nil"/>
              <w:left w:val="nil"/>
              <w:bottom w:val="single" w:color="auto" w:sz="4" w:space="0"/>
              <w:right w:val="single" w:color="auto" w:sz="4" w:space="0"/>
            </w:tcBorders>
            <w:shd w:val="clear" w:color="auto" w:fill="auto"/>
            <w:vAlign w:val="center"/>
          </w:tcPr>
          <w:p w14:paraId="1F2CD2E5">
            <w:pPr>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支持IPv4和IPv6双栈使用环境</w:t>
            </w:r>
          </w:p>
        </w:tc>
        <w:tc>
          <w:tcPr>
            <w:tcW w:w="448" w:type="pct"/>
            <w:tcBorders>
              <w:top w:val="nil"/>
              <w:left w:val="nil"/>
              <w:bottom w:val="single" w:color="auto" w:sz="4" w:space="0"/>
              <w:right w:val="single" w:color="auto" w:sz="4" w:space="0"/>
            </w:tcBorders>
            <w:shd w:val="clear" w:color="auto" w:fill="auto"/>
            <w:vAlign w:val="center"/>
          </w:tcPr>
          <w:p w14:paraId="2C4970ED">
            <w:pPr>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w:t>
            </w:r>
          </w:p>
        </w:tc>
        <w:tc>
          <w:tcPr>
            <w:tcW w:w="501" w:type="pct"/>
            <w:tcBorders>
              <w:top w:val="nil"/>
              <w:left w:val="nil"/>
              <w:bottom w:val="single" w:color="auto" w:sz="4" w:space="0"/>
              <w:right w:val="single" w:color="auto" w:sz="4" w:space="0"/>
            </w:tcBorders>
            <w:shd w:val="clear" w:color="auto" w:fill="auto"/>
            <w:noWrap/>
            <w:vAlign w:val="bottom"/>
          </w:tcPr>
          <w:p w14:paraId="5C9A7B6B">
            <w:pPr>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414" w:type="pct"/>
            <w:vMerge w:val="continue"/>
            <w:tcBorders>
              <w:top w:val="nil"/>
              <w:left w:val="single" w:color="auto" w:sz="4" w:space="0"/>
              <w:bottom w:val="single" w:color="000000" w:sz="4" w:space="0"/>
              <w:right w:val="single" w:color="auto" w:sz="4" w:space="0"/>
            </w:tcBorders>
            <w:vAlign w:val="center"/>
          </w:tcPr>
          <w:p w14:paraId="636C1AAE">
            <w:pPr>
              <w:jc w:val="left"/>
              <w:rPr>
                <w:rFonts w:ascii="宋体" w:hAnsi="宋体" w:eastAsia="宋体" w:cs="宋体"/>
                <w:color w:val="auto"/>
                <w:kern w:val="0"/>
                <w:sz w:val="28"/>
                <w:szCs w:val="28"/>
                <w:highlight w:val="none"/>
              </w:rPr>
            </w:pPr>
          </w:p>
        </w:tc>
      </w:tr>
      <w:tr w14:paraId="2F1DC7AB">
        <w:tblPrEx>
          <w:tblCellMar>
            <w:top w:w="0" w:type="dxa"/>
            <w:left w:w="108" w:type="dxa"/>
            <w:bottom w:w="0" w:type="dxa"/>
            <w:right w:w="108" w:type="dxa"/>
          </w:tblCellMar>
        </w:tblPrEx>
        <w:trPr>
          <w:trHeight w:val="510" w:hRule="atLeast"/>
          <w:jc w:val="center"/>
        </w:trPr>
        <w:tc>
          <w:tcPr>
            <w:tcW w:w="196" w:type="pct"/>
            <w:tcBorders>
              <w:top w:val="nil"/>
              <w:left w:val="single" w:color="auto" w:sz="4" w:space="0"/>
              <w:bottom w:val="single" w:color="auto" w:sz="4" w:space="0"/>
              <w:right w:val="single" w:color="auto" w:sz="4" w:space="0"/>
            </w:tcBorders>
            <w:shd w:val="clear" w:color="auto" w:fill="auto"/>
            <w:noWrap/>
            <w:vAlign w:val="center"/>
          </w:tcPr>
          <w:p w14:paraId="4657D5AA">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52" w:type="pct"/>
            <w:vMerge w:val="restart"/>
            <w:tcBorders>
              <w:top w:val="nil"/>
              <w:left w:val="single" w:color="auto" w:sz="4" w:space="0"/>
              <w:bottom w:val="single" w:color="auto" w:sz="4" w:space="0"/>
              <w:right w:val="single" w:color="auto" w:sz="4" w:space="0"/>
            </w:tcBorders>
            <w:shd w:val="clear" w:color="auto" w:fill="auto"/>
            <w:noWrap/>
            <w:vAlign w:val="center"/>
          </w:tcPr>
          <w:p w14:paraId="0250BAB4">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服务响应</w:t>
            </w:r>
          </w:p>
        </w:tc>
        <w:tc>
          <w:tcPr>
            <w:tcW w:w="2586" w:type="pct"/>
            <w:tcBorders>
              <w:top w:val="nil"/>
              <w:left w:val="nil"/>
              <w:bottom w:val="single" w:color="auto" w:sz="4" w:space="0"/>
              <w:right w:val="single" w:color="auto" w:sz="4" w:space="0"/>
            </w:tcBorders>
            <w:shd w:val="clear" w:color="auto" w:fill="auto"/>
            <w:vAlign w:val="center"/>
          </w:tcPr>
          <w:p w14:paraId="7DDFE8C0">
            <w:pPr>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服务专业，态度认真，服务热情、周到</w:t>
            </w:r>
          </w:p>
        </w:tc>
        <w:tc>
          <w:tcPr>
            <w:tcW w:w="448" w:type="pct"/>
            <w:tcBorders>
              <w:top w:val="nil"/>
              <w:left w:val="nil"/>
              <w:bottom w:val="single" w:color="auto" w:sz="4" w:space="0"/>
              <w:right w:val="single" w:color="auto" w:sz="4" w:space="0"/>
            </w:tcBorders>
            <w:shd w:val="clear" w:color="auto" w:fill="auto"/>
            <w:vAlign w:val="center"/>
          </w:tcPr>
          <w:p w14:paraId="709F1757">
            <w:pPr>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w:t>
            </w:r>
          </w:p>
        </w:tc>
        <w:tc>
          <w:tcPr>
            <w:tcW w:w="501" w:type="pct"/>
            <w:tcBorders>
              <w:top w:val="nil"/>
              <w:left w:val="nil"/>
              <w:bottom w:val="single" w:color="auto" w:sz="4" w:space="0"/>
              <w:right w:val="single" w:color="auto" w:sz="4" w:space="0"/>
            </w:tcBorders>
            <w:shd w:val="clear" w:color="auto" w:fill="auto"/>
            <w:noWrap/>
            <w:vAlign w:val="bottom"/>
          </w:tcPr>
          <w:p w14:paraId="1C880A07">
            <w:pPr>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414" w:type="pct"/>
            <w:vMerge w:val="continue"/>
            <w:tcBorders>
              <w:top w:val="nil"/>
              <w:left w:val="single" w:color="auto" w:sz="4" w:space="0"/>
              <w:bottom w:val="single" w:color="000000" w:sz="4" w:space="0"/>
              <w:right w:val="single" w:color="auto" w:sz="4" w:space="0"/>
            </w:tcBorders>
            <w:vAlign w:val="center"/>
          </w:tcPr>
          <w:p w14:paraId="1BB22DB7">
            <w:pPr>
              <w:jc w:val="left"/>
              <w:rPr>
                <w:rFonts w:ascii="宋体" w:hAnsi="宋体" w:eastAsia="宋体" w:cs="宋体"/>
                <w:color w:val="auto"/>
                <w:kern w:val="0"/>
                <w:sz w:val="28"/>
                <w:szCs w:val="28"/>
                <w:highlight w:val="none"/>
              </w:rPr>
            </w:pPr>
          </w:p>
        </w:tc>
      </w:tr>
      <w:tr w14:paraId="711AAC6A">
        <w:tblPrEx>
          <w:tblCellMar>
            <w:top w:w="0" w:type="dxa"/>
            <w:left w:w="108" w:type="dxa"/>
            <w:bottom w:w="0" w:type="dxa"/>
            <w:right w:w="108" w:type="dxa"/>
          </w:tblCellMar>
        </w:tblPrEx>
        <w:trPr>
          <w:trHeight w:val="540" w:hRule="atLeast"/>
          <w:jc w:val="center"/>
        </w:trPr>
        <w:tc>
          <w:tcPr>
            <w:tcW w:w="196" w:type="pct"/>
            <w:tcBorders>
              <w:top w:val="nil"/>
              <w:left w:val="single" w:color="auto" w:sz="4" w:space="0"/>
              <w:bottom w:val="single" w:color="auto" w:sz="4" w:space="0"/>
              <w:right w:val="single" w:color="auto" w:sz="4" w:space="0"/>
            </w:tcBorders>
            <w:shd w:val="clear" w:color="auto" w:fill="auto"/>
            <w:noWrap/>
            <w:vAlign w:val="center"/>
          </w:tcPr>
          <w:p w14:paraId="3DAF754A">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52" w:type="pct"/>
            <w:vMerge w:val="continue"/>
            <w:tcBorders>
              <w:top w:val="nil"/>
              <w:left w:val="single" w:color="auto" w:sz="4" w:space="0"/>
              <w:bottom w:val="single" w:color="auto" w:sz="4" w:space="0"/>
              <w:right w:val="single" w:color="auto" w:sz="4" w:space="0"/>
            </w:tcBorders>
            <w:vAlign w:val="center"/>
          </w:tcPr>
          <w:p w14:paraId="67251353">
            <w:pPr>
              <w:jc w:val="left"/>
              <w:rPr>
                <w:rFonts w:ascii="宋体" w:hAnsi="宋体" w:eastAsia="宋体" w:cs="宋体"/>
                <w:color w:val="auto"/>
                <w:kern w:val="0"/>
                <w:szCs w:val="21"/>
                <w:highlight w:val="none"/>
              </w:rPr>
            </w:pPr>
          </w:p>
        </w:tc>
        <w:tc>
          <w:tcPr>
            <w:tcW w:w="2586" w:type="pct"/>
            <w:tcBorders>
              <w:top w:val="nil"/>
              <w:left w:val="nil"/>
              <w:bottom w:val="single" w:color="auto" w:sz="4" w:space="0"/>
              <w:right w:val="single" w:color="auto" w:sz="4" w:space="0"/>
            </w:tcBorders>
            <w:shd w:val="clear" w:color="auto" w:fill="auto"/>
            <w:vAlign w:val="center"/>
          </w:tcPr>
          <w:p w14:paraId="23CC07D6">
            <w:pPr>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日常服务响应及时</w:t>
            </w:r>
          </w:p>
        </w:tc>
        <w:tc>
          <w:tcPr>
            <w:tcW w:w="448" w:type="pct"/>
            <w:tcBorders>
              <w:top w:val="nil"/>
              <w:left w:val="nil"/>
              <w:bottom w:val="single" w:color="auto" w:sz="4" w:space="0"/>
              <w:right w:val="single" w:color="auto" w:sz="4" w:space="0"/>
            </w:tcBorders>
            <w:shd w:val="clear" w:color="auto" w:fill="auto"/>
            <w:vAlign w:val="center"/>
          </w:tcPr>
          <w:p w14:paraId="49A2C175">
            <w:pPr>
              <w:jc w:val="center"/>
              <w:rPr>
                <w:rFonts w:hint="default"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10</w:t>
            </w:r>
          </w:p>
        </w:tc>
        <w:tc>
          <w:tcPr>
            <w:tcW w:w="501" w:type="pct"/>
            <w:tcBorders>
              <w:top w:val="nil"/>
              <w:left w:val="nil"/>
              <w:bottom w:val="single" w:color="auto" w:sz="4" w:space="0"/>
              <w:right w:val="single" w:color="auto" w:sz="4" w:space="0"/>
            </w:tcBorders>
            <w:shd w:val="clear" w:color="auto" w:fill="auto"/>
            <w:noWrap/>
            <w:vAlign w:val="bottom"/>
          </w:tcPr>
          <w:p w14:paraId="26609317">
            <w:pPr>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414" w:type="pct"/>
            <w:vMerge w:val="continue"/>
            <w:tcBorders>
              <w:top w:val="nil"/>
              <w:left w:val="single" w:color="auto" w:sz="4" w:space="0"/>
              <w:bottom w:val="single" w:color="000000" w:sz="4" w:space="0"/>
              <w:right w:val="single" w:color="auto" w:sz="4" w:space="0"/>
            </w:tcBorders>
            <w:vAlign w:val="center"/>
          </w:tcPr>
          <w:p w14:paraId="420AC574">
            <w:pPr>
              <w:jc w:val="left"/>
              <w:rPr>
                <w:rFonts w:ascii="宋体" w:hAnsi="宋体" w:eastAsia="宋体" w:cs="宋体"/>
                <w:color w:val="auto"/>
                <w:kern w:val="0"/>
                <w:sz w:val="28"/>
                <w:szCs w:val="28"/>
                <w:highlight w:val="none"/>
              </w:rPr>
            </w:pPr>
          </w:p>
        </w:tc>
      </w:tr>
      <w:tr w14:paraId="34140559">
        <w:tblPrEx>
          <w:tblCellMar>
            <w:top w:w="0" w:type="dxa"/>
            <w:left w:w="108" w:type="dxa"/>
            <w:bottom w:w="0" w:type="dxa"/>
            <w:right w:w="108" w:type="dxa"/>
          </w:tblCellMar>
        </w:tblPrEx>
        <w:trPr>
          <w:trHeight w:val="525" w:hRule="atLeast"/>
          <w:jc w:val="center"/>
        </w:trPr>
        <w:tc>
          <w:tcPr>
            <w:tcW w:w="196" w:type="pct"/>
            <w:tcBorders>
              <w:top w:val="nil"/>
              <w:left w:val="single" w:color="auto" w:sz="4" w:space="0"/>
              <w:bottom w:val="single" w:color="auto" w:sz="4" w:space="0"/>
              <w:right w:val="single" w:color="auto" w:sz="4" w:space="0"/>
            </w:tcBorders>
            <w:shd w:val="clear" w:color="auto" w:fill="auto"/>
            <w:noWrap/>
            <w:vAlign w:val="center"/>
          </w:tcPr>
          <w:p w14:paraId="05104293">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52" w:type="pct"/>
            <w:vMerge w:val="continue"/>
            <w:tcBorders>
              <w:top w:val="nil"/>
              <w:left w:val="single" w:color="auto" w:sz="4" w:space="0"/>
              <w:bottom w:val="single" w:color="auto" w:sz="4" w:space="0"/>
              <w:right w:val="single" w:color="auto" w:sz="4" w:space="0"/>
            </w:tcBorders>
            <w:vAlign w:val="center"/>
          </w:tcPr>
          <w:p w14:paraId="55B7D0AB">
            <w:pPr>
              <w:jc w:val="left"/>
              <w:rPr>
                <w:rFonts w:ascii="宋体" w:hAnsi="宋体" w:eastAsia="宋体" w:cs="宋体"/>
                <w:color w:val="auto"/>
                <w:kern w:val="0"/>
                <w:szCs w:val="21"/>
                <w:highlight w:val="none"/>
              </w:rPr>
            </w:pPr>
          </w:p>
        </w:tc>
        <w:tc>
          <w:tcPr>
            <w:tcW w:w="2586" w:type="pct"/>
            <w:tcBorders>
              <w:top w:val="nil"/>
              <w:left w:val="nil"/>
              <w:bottom w:val="single" w:color="auto" w:sz="4" w:space="0"/>
              <w:right w:val="single" w:color="auto" w:sz="4" w:space="0"/>
            </w:tcBorders>
            <w:shd w:val="clear" w:color="auto" w:fill="auto"/>
            <w:vAlign w:val="center"/>
          </w:tcPr>
          <w:p w14:paraId="1F426FB9">
            <w:pPr>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业务故障响应及处理速度快</w:t>
            </w:r>
          </w:p>
        </w:tc>
        <w:tc>
          <w:tcPr>
            <w:tcW w:w="448" w:type="pct"/>
            <w:tcBorders>
              <w:top w:val="nil"/>
              <w:left w:val="nil"/>
              <w:bottom w:val="single" w:color="auto" w:sz="4" w:space="0"/>
              <w:right w:val="single" w:color="auto" w:sz="4" w:space="0"/>
            </w:tcBorders>
            <w:shd w:val="clear" w:color="auto" w:fill="auto"/>
            <w:vAlign w:val="center"/>
          </w:tcPr>
          <w:p w14:paraId="7661BCF7">
            <w:pPr>
              <w:jc w:val="center"/>
              <w:rPr>
                <w:rFonts w:hint="default"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10</w:t>
            </w:r>
          </w:p>
        </w:tc>
        <w:tc>
          <w:tcPr>
            <w:tcW w:w="501" w:type="pct"/>
            <w:tcBorders>
              <w:top w:val="nil"/>
              <w:left w:val="nil"/>
              <w:bottom w:val="single" w:color="auto" w:sz="4" w:space="0"/>
              <w:right w:val="single" w:color="auto" w:sz="4" w:space="0"/>
            </w:tcBorders>
            <w:shd w:val="clear" w:color="auto" w:fill="auto"/>
            <w:noWrap/>
            <w:vAlign w:val="bottom"/>
          </w:tcPr>
          <w:p w14:paraId="215D1B55">
            <w:pPr>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414" w:type="pct"/>
            <w:vMerge w:val="continue"/>
            <w:tcBorders>
              <w:top w:val="nil"/>
              <w:left w:val="single" w:color="auto" w:sz="4" w:space="0"/>
              <w:bottom w:val="single" w:color="000000" w:sz="4" w:space="0"/>
              <w:right w:val="single" w:color="auto" w:sz="4" w:space="0"/>
            </w:tcBorders>
            <w:vAlign w:val="center"/>
          </w:tcPr>
          <w:p w14:paraId="05757CBF">
            <w:pPr>
              <w:jc w:val="left"/>
              <w:rPr>
                <w:rFonts w:ascii="宋体" w:hAnsi="宋体" w:eastAsia="宋体" w:cs="宋体"/>
                <w:color w:val="auto"/>
                <w:kern w:val="0"/>
                <w:sz w:val="28"/>
                <w:szCs w:val="28"/>
                <w:highlight w:val="none"/>
              </w:rPr>
            </w:pPr>
          </w:p>
        </w:tc>
      </w:tr>
      <w:tr w14:paraId="540BD419">
        <w:tblPrEx>
          <w:tblCellMar>
            <w:top w:w="0" w:type="dxa"/>
            <w:left w:w="108" w:type="dxa"/>
            <w:bottom w:w="0" w:type="dxa"/>
            <w:right w:w="108" w:type="dxa"/>
          </w:tblCellMar>
        </w:tblPrEx>
        <w:trPr>
          <w:trHeight w:val="930" w:hRule="atLeast"/>
          <w:jc w:val="center"/>
        </w:trPr>
        <w:tc>
          <w:tcPr>
            <w:tcW w:w="196" w:type="pct"/>
            <w:tcBorders>
              <w:top w:val="nil"/>
              <w:left w:val="single" w:color="auto" w:sz="4" w:space="0"/>
              <w:bottom w:val="single" w:color="auto" w:sz="4" w:space="0"/>
              <w:right w:val="single" w:color="auto" w:sz="4" w:space="0"/>
            </w:tcBorders>
            <w:shd w:val="clear" w:color="auto" w:fill="auto"/>
            <w:noWrap/>
            <w:vAlign w:val="center"/>
          </w:tcPr>
          <w:p w14:paraId="1D640649">
            <w:pPr>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w:t>
            </w:r>
          </w:p>
        </w:tc>
        <w:tc>
          <w:tcPr>
            <w:tcW w:w="852" w:type="pct"/>
            <w:vMerge w:val="restart"/>
            <w:tcBorders>
              <w:top w:val="nil"/>
              <w:left w:val="single" w:color="auto" w:sz="4" w:space="0"/>
              <w:bottom w:val="single" w:color="auto" w:sz="4" w:space="0"/>
              <w:right w:val="single" w:color="auto" w:sz="4" w:space="0"/>
            </w:tcBorders>
            <w:shd w:val="clear" w:color="auto" w:fill="auto"/>
            <w:noWrap/>
            <w:vAlign w:val="center"/>
          </w:tcPr>
          <w:p w14:paraId="5A62464F">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安全保障</w:t>
            </w:r>
          </w:p>
        </w:tc>
        <w:tc>
          <w:tcPr>
            <w:tcW w:w="2586" w:type="pct"/>
            <w:tcBorders>
              <w:top w:val="nil"/>
              <w:left w:val="nil"/>
              <w:bottom w:val="single" w:color="auto" w:sz="4" w:space="0"/>
              <w:right w:val="single" w:color="auto" w:sz="4" w:space="0"/>
            </w:tcBorders>
            <w:shd w:val="clear" w:color="auto" w:fill="auto"/>
            <w:vAlign w:val="center"/>
          </w:tcPr>
          <w:p w14:paraId="0713A22C">
            <w:pPr>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根据学校需求，对学校服务器的IP和域名提供正向和反向解析服务，未发生DNS劫持事件</w:t>
            </w:r>
          </w:p>
        </w:tc>
        <w:tc>
          <w:tcPr>
            <w:tcW w:w="448" w:type="pct"/>
            <w:tcBorders>
              <w:top w:val="nil"/>
              <w:left w:val="nil"/>
              <w:bottom w:val="single" w:color="auto" w:sz="4" w:space="0"/>
              <w:right w:val="single" w:color="auto" w:sz="4" w:space="0"/>
            </w:tcBorders>
            <w:shd w:val="clear" w:color="auto" w:fill="auto"/>
            <w:vAlign w:val="center"/>
          </w:tcPr>
          <w:p w14:paraId="5C69339D">
            <w:pPr>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10</w:t>
            </w:r>
          </w:p>
        </w:tc>
        <w:tc>
          <w:tcPr>
            <w:tcW w:w="501" w:type="pct"/>
            <w:tcBorders>
              <w:top w:val="nil"/>
              <w:left w:val="nil"/>
              <w:bottom w:val="single" w:color="auto" w:sz="4" w:space="0"/>
              <w:right w:val="single" w:color="auto" w:sz="4" w:space="0"/>
            </w:tcBorders>
            <w:shd w:val="clear" w:color="auto" w:fill="auto"/>
            <w:noWrap/>
            <w:vAlign w:val="bottom"/>
          </w:tcPr>
          <w:p w14:paraId="45ECEC91">
            <w:pPr>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414" w:type="pct"/>
            <w:vMerge w:val="continue"/>
            <w:tcBorders>
              <w:top w:val="nil"/>
              <w:left w:val="single" w:color="auto" w:sz="4" w:space="0"/>
              <w:bottom w:val="single" w:color="000000" w:sz="4" w:space="0"/>
              <w:right w:val="single" w:color="auto" w:sz="4" w:space="0"/>
            </w:tcBorders>
            <w:vAlign w:val="center"/>
          </w:tcPr>
          <w:p w14:paraId="0ACCA667">
            <w:pPr>
              <w:jc w:val="left"/>
              <w:rPr>
                <w:rFonts w:ascii="宋体" w:hAnsi="宋体" w:eastAsia="宋体" w:cs="宋体"/>
                <w:color w:val="auto"/>
                <w:kern w:val="0"/>
                <w:sz w:val="28"/>
                <w:szCs w:val="28"/>
                <w:highlight w:val="none"/>
              </w:rPr>
            </w:pPr>
          </w:p>
        </w:tc>
      </w:tr>
      <w:tr w14:paraId="57E2E3E3">
        <w:tblPrEx>
          <w:tblCellMar>
            <w:top w:w="0" w:type="dxa"/>
            <w:left w:w="108" w:type="dxa"/>
            <w:bottom w:w="0" w:type="dxa"/>
            <w:right w:w="108" w:type="dxa"/>
          </w:tblCellMar>
        </w:tblPrEx>
        <w:trPr>
          <w:trHeight w:val="843" w:hRule="atLeast"/>
          <w:jc w:val="center"/>
        </w:trPr>
        <w:tc>
          <w:tcPr>
            <w:tcW w:w="196" w:type="pct"/>
            <w:tcBorders>
              <w:top w:val="nil"/>
              <w:left w:val="single" w:color="auto" w:sz="4" w:space="0"/>
              <w:bottom w:val="single" w:color="auto" w:sz="4" w:space="0"/>
              <w:right w:val="single" w:color="auto" w:sz="4" w:space="0"/>
            </w:tcBorders>
            <w:shd w:val="clear" w:color="auto" w:fill="auto"/>
            <w:noWrap/>
            <w:vAlign w:val="center"/>
          </w:tcPr>
          <w:p w14:paraId="1944C27E">
            <w:pPr>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w:t>
            </w:r>
          </w:p>
        </w:tc>
        <w:tc>
          <w:tcPr>
            <w:tcW w:w="852" w:type="pct"/>
            <w:vMerge w:val="continue"/>
            <w:tcBorders>
              <w:top w:val="nil"/>
              <w:left w:val="single" w:color="auto" w:sz="4" w:space="0"/>
              <w:bottom w:val="single" w:color="auto" w:sz="4" w:space="0"/>
              <w:right w:val="single" w:color="auto" w:sz="4" w:space="0"/>
            </w:tcBorders>
            <w:vAlign w:val="center"/>
          </w:tcPr>
          <w:p w14:paraId="50C4A3F7">
            <w:pPr>
              <w:jc w:val="left"/>
              <w:rPr>
                <w:rFonts w:ascii="宋体" w:hAnsi="宋体" w:eastAsia="宋体" w:cs="宋体"/>
                <w:color w:val="auto"/>
                <w:kern w:val="0"/>
                <w:szCs w:val="21"/>
                <w:highlight w:val="none"/>
              </w:rPr>
            </w:pPr>
          </w:p>
        </w:tc>
        <w:tc>
          <w:tcPr>
            <w:tcW w:w="2586" w:type="pct"/>
            <w:tcBorders>
              <w:top w:val="nil"/>
              <w:left w:val="nil"/>
              <w:bottom w:val="single" w:color="auto" w:sz="4" w:space="0"/>
              <w:right w:val="single" w:color="auto" w:sz="4" w:space="0"/>
            </w:tcBorders>
            <w:shd w:val="clear" w:color="auto" w:fill="auto"/>
            <w:vAlign w:val="center"/>
          </w:tcPr>
          <w:p w14:paraId="4AD737FE">
            <w:pPr>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提供足够的安全技术保障和明确的网络安全保障联系方式，及时响应学校申告的安全事件</w:t>
            </w:r>
          </w:p>
        </w:tc>
        <w:tc>
          <w:tcPr>
            <w:tcW w:w="448" w:type="pct"/>
            <w:tcBorders>
              <w:top w:val="nil"/>
              <w:left w:val="nil"/>
              <w:bottom w:val="single" w:color="auto" w:sz="4" w:space="0"/>
              <w:right w:val="single" w:color="auto" w:sz="4" w:space="0"/>
            </w:tcBorders>
            <w:shd w:val="clear" w:color="auto" w:fill="auto"/>
            <w:vAlign w:val="center"/>
          </w:tcPr>
          <w:p w14:paraId="1717CE1B">
            <w:pPr>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w:t>
            </w:r>
          </w:p>
        </w:tc>
        <w:tc>
          <w:tcPr>
            <w:tcW w:w="501" w:type="pct"/>
            <w:tcBorders>
              <w:top w:val="nil"/>
              <w:left w:val="nil"/>
              <w:bottom w:val="single" w:color="auto" w:sz="4" w:space="0"/>
              <w:right w:val="single" w:color="auto" w:sz="4" w:space="0"/>
            </w:tcBorders>
            <w:shd w:val="clear" w:color="auto" w:fill="auto"/>
            <w:noWrap/>
            <w:vAlign w:val="bottom"/>
          </w:tcPr>
          <w:p w14:paraId="2F1BEA14">
            <w:pPr>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414" w:type="pct"/>
            <w:vMerge w:val="continue"/>
            <w:tcBorders>
              <w:top w:val="nil"/>
              <w:left w:val="single" w:color="auto" w:sz="4" w:space="0"/>
              <w:bottom w:val="single" w:color="000000" w:sz="4" w:space="0"/>
              <w:right w:val="single" w:color="auto" w:sz="4" w:space="0"/>
            </w:tcBorders>
            <w:vAlign w:val="center"/>
          </w:tcPr>
          <w:p w14:paraId="17C00D74">
            <w:pPr>
              <w:jc w:val="left"/>
              <w:rPr>
                <w:rFonts w:ascii="宋体" w:hAnsi="宋体" w:eastAsia="宋体" w:cs="宋体"/>
                <w:color w:val="auto"/>
                <w:kern w:val="0"/>
                <w:sz w:val="28"/>
                <w:szCs w:val="28"/>
                <w:highlight w:val="none"/>
              </w:rPr>
            </w:pPr>
          </w:p>
        </w:tc>
      </w:tr>
      <w:tr w14:paraId="12FADB4C">
        <w:tblPrEx>
          <w:tblCellMar>
            <w:top w:w="0" w:type="dxa"/>
            <w:left w:w="108" w:type="dxa"/>
            <w:bottom w:w="0" w:type="dxa"/>
            <w:right w:w="108" w:type="dxa"/>
          </w:tblCellMar>
        </w:tblPrEx>
        <w:trPr>
          <w:trHeight w:val="720" w:hRule="atLeast"/>
          <w:jc w:val="center"/>
        </w:trPr>
        <w:tc>
          <w:tcPr>
            <w:tcW w:w="196" w:type="pct"/>
            <w:tcBorders>
              <w:top w:val="nil"/>
              <w:left w:val="single" w:color="auto" w:sz="4" w:space="0"/>
              <w:bottom w:val="single" w:color="auto" w:sz="4" w:space="0"/>
              <w:right w:val="single" w:color="auto" w:sz="4" w:space="0"/>
            </w:tcBorders>
            <w:shd w:val="clear" w:color="auto" w:fill="auto"/>
            <w:noWrap/>
            <w:vAlign w:val="center"/>
          </w:tcPr>
          <w:p w14:paraId="233D53C8">
            <w:pPr>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w:t>
            </w:r>
          </w:p>
        </w:tc>
        <w:tc>
          <w:tcPr>
            <w:tcW w:w="852" w:type="pct"/>
            <w:vMerge w:val="restart"/>
            <w:tcBorders>
              <w:top w:val="nil"/>
              <w:left w:val="single" w:color="auto" w:sz="4" w:space="0"/>
              <w:bottom w:val="single" w:color="auto" w:sz="4" w:space="0"/>
              <w:right w:val="single" w:color="auto" w:sz="4" w:space="0"/>
            </w:tcBorders>
            <w:shd w:val="clear" w:color="auto" w:fill="auto"/>
            <w:noWrap/>
            <w:vAlign w:val="center"/>
          </w:tcPr>
          <w:p w14:paraId="50B37D3F">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带宽质量</w:t>
            </w:r>
          </w:p>
        </w:tc>
        <w:tc>
          <w:tcPr>
            <w:tcW w:w="2586" w:type="pct"/>
            <w:tcBorders>
              <w:top w:val="nil"/>
              <w:left w:val="nil"/>
              <w:bottom w:val="single" w:color="auto" w:sz="4" w:space="0"/>
              <w:right w:val="single" w:color="auto" w:sz="4" w:space="0"/>
            </w:tcBorders>
            <w:shd w:val="clear" w:color="auto" w:fill="auto"/>
            <w:vAlign w:val="center"/>
          </w:tcPr>
          <w:p w14:paraId="2952E1B9">
            <w:pPr>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带宽链路具有冗余保护，链路可用率不低于99.9%</w:t>
            </w:r>
          </w:p>
        </w:tc>
        <w:tc>
          <w:tcPr>
            <w:tcW w:w="448" w:type="pct"/>
            <w:tcBorders>
              <w:top w:val="nil"/>
              <w:left w:val="nil"/>
              <w:bottom w:val="single" w:color="auto" w:sz="4" w:space="0"/>
              <w:right w:val="single" w:color="auto" w:sz="4" w:space="0"/>
            </w:tcBorders>
            <w:shd w:val="clear" w:color="auto" w:fill="auto"/>
            <w:vAlign w:val="center"/>
          </w:tcPr>
          <w:p w14:paraId="2B48A1C6">
            <w:pPr>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10</w:t>
            </w:r>
          </w:p>
        </w:tc>
        <w:tc>
          <w:tcPr>
            <w:tcW w:w="501" w:type="pct"/>
            <w:tcBorders>
              <w:top w:val="nil"/>
              <w:left w:val="nil"/>
              <w:bottom w:val="single" w:color="auto" w:sz="4" w:space="0"/>
              <w:right w:val="single" w:color="auto" w:sz="4" w:space="0"/>
            </w:tcBorders>
            <w:shd w:val="clear" w:color="auto" w:fill="auto"/>
            <w:noWrap/>
            <w:vAlign w:val="bottom"/>
          </w:tcPr>
          <w:p w14:paraId="2235B209">
            <w:pPr>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414" w:type="pct"/>
            <w:vMerge w:val="continue"/>
            <w:tcBorders>
              <w:top w:val="nil"/>
              <w:left w:val="single" w:color="auto" w:sz="4" w:space="0"/>
              <w:bottom w:val="single" w:color="000000" w:sz="4" w:space="0"/>
              <w:right w:val="single" w:color="auto" w:sz="4" w:space="0"/>
            </w:tcBorders>
            <w:vAlign w:val="center"/>
          </w:tcPr>
          <w:p w14:paraId="3A6C4FD6">
            <w:pPr>
              <w:jc w:val="left"/>
              <w:rPr>
                <w:rFonts w:ascii="宋体" w:hAnsi="宋体" w:eastAsia="宋体" w:cs="宋体"/>
                <w:color w:val="auto"/>
                <w:kern w:val="0"/>
                <w:sz w:val="28"/>
                <w:szCs w:val="28"/>
                <w:highlight w:val="none"/>
              </w:rPr>
            </w:pPr>
          </w:p>
        </w:tc>
      </w:tr>
      <w:tr w14:paraId="1EA1F6FD">
        <w:trPr>
          <w:trHeight w:val="465" w:hRule="atLeast"/>
          <w:jc w:val="center"/>
        </w:trPr>
        <w:tc>
          <w:tcPr>
            <w:tcW w:w="196" w:type="pct"/>
            <w:tcBorders>
              <w:top w:val="nil"/>
              <w:left w:val="single" w:color="auto" w:sz="4" w:space="0"/>
              <w:bottom w:val="single" w:color="auto" w:sz="4" w:space="0"/>
              <w:right w:val="single" w:color="auto" w:sz="4" w:space="0"/>
            </w:tcBorders>
            <w:shd w:val="clear" w:color="auto" w:fill="auto"/>
            <w:noWrap/>
            <w:vAlign w:val="center"/>
          </w:tcPr>
          <w:p w14:paraId="0DF2CCA3">
            <w:pPr>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0</w:t>
            </w:r>
          </w:p>
        </w:tc>
        <w:tc>
          <w:tcPr>
            <w:tcW w:w="852" w:type="pct"/>
            <w:vMerge w:val="continue"/>
            <w:tcBorders>
              <w:top w:val="nil"/>
              <w:left w:val="single" w:color="auto" w:sz="4" w:space="0"/>
              <w:bottom w:val="single" w:color="auto" w:sz="4" w:space="0"/>
              <w:right w:val="single" w:color="auto" w:sz="4" w:space="0"/>
            </w:tcBorders>
            <w:vAlign w:val="center"/>
          </w:tcPr>
          <w:p w14:paraId="706AB6B8">
            <w:pPr>
              <w:jc w:val="left"/>
              <w:rPr>
                <w:rFonts w:ascii="宋体" w:hAnsi="宋体" w:eastAsia="宋体" w:cs="宋体"/>
                <w:color w:val="auto"/>
                <w:kern w:val="0"/>
                <w:szCs w:val="21"/>
                <w:highlight w:val="none"/>
              </w:rPr>
            </w:pPr>
          </w:p>
        </w:tc>
        <w:tc>
          <w:tcPr>
            <w:tcW w:w="2586" w:type="pct"/>
            <w:tcBorders>
              <w:top w:val="nil"/>
              <w:left w:val="nil"/>
              <w:bottom w:val="single" w:color="auto" w:sz="4" w:space="0"/>
              <w:right w:val="single" w:color="auto" w:sz="4" w:space="0"/>
            </w:tcBorders>
            <w:shd w:val="clear" w:color="auto" w:fill="auto"/>
            <w:vAlign w:val="center"/>
          </w:tcPr>
          <w:p w14:paraId="5E8B24DB">
            <w:pPr>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网络运行稳定</w:t>
            </w:r>
          </w:p>
        </w:tc>
        <w:tc>
          <w:tcPr>
            <w:tcW w:w="448" w:type="pct"/>
            <w:tcBorders>
              <w:top w:val="nil"/>
              <w:left w:val="nil"/>
              <w:bottom w:val="single" w:color="auto" w:sz="4" w:space="0"/>
              <w:right w:val="single" w:color="auto" w:sz="4" w:space="0"/>
            </w:tcBorders>
            <w:shd w:val="clear" w:color="auto" w:fill="auto"/>
            <w:vAlign w:val="center"/>
          </w:tcPr>
          <w:p w14:paraId="2D5DCDD4">
            <w:pPr>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10</w:t>
            </w:r>
          </w:p>
        </w:tc>
        <w:tc>
          <w:tcPr>
            <w:tcW w:w="501" w:type="pct"/>
            <w:tcBorders>
              <w:top w:val="nil"/>
              <w:left w:val="nil"/>
              <w:bottom w:val="single" w:color="auto" w:sz="4" w:space="0"/>
              <w:right w:val="single" w:color="auto" w:sz="4" w:space="0"/>
            </w:tcBorders>
            <w:shd w:val="clear" w:color="auto" w:fill="auto"/>
            <w:noWrap/>
            <w:vAlign w:val="bottom"/>
          </w:tcPr>
          <w:p w14:paraId="7B41CA6B">
            <w:pPr>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414" w:type="pct"/>
            <w:vMerge w:val="continue"/>
            <w:tcBorders>
              <w:top w:val="nil"/>
              <w:left w:val="single" w:color="auto" w:sz="4" w:space="0"/>
              <w:bottom w:val="single" w:color="000000" w:sz="4" w:space="0"/>
              <w:right w:val="single" w:color="auto" w:sz="4" w:space="0"/>
            </w:tcBorders>
            <w:vAlign w:val="center"/>
          </w:tcPr>
          <w:p w14:paraId="5B1FE219">
            <w:pPr>
              <w:jc w:val="left"/>
              <w:rPr>
                <w:rFonts w:ascii="宋体" w:hAnsi="宋体" w:eastAsia="宋体" w:cs="宋体"/>
                <w:color w:val="auto"/>
                <w:kern w:val="0"/>
                <w:sz w:val="28"/>
                <w:szCs w:val="28"/>
                <w:highlight w:val="none"/>
              </w:rPr>
            </w:pPr>
          </w:p>
        </w:tc>
      </w:tr>
      <w:tr w14:paraId="1FA972C6">
        <w:tblPrEx>
          <w:tblCellMar>
            <w:top w:w="0" w:type="dxa"/>
            <w:left w:w="108" w:type="dxa"/>
            <w:bottom w:w="0" w:type="dxa"/>
            <w:right w:w="108" w:type="dxa"/>
          </w:tblCellMar>
        </w:tblPrEx>
        <w:trPr>
          <w:trHeight w:val="570" w:hRule="atLeast"/>
          <w:jc w:val="center"/>
        </w:trPr>
        <w:tc>
          <w:tcPr>
            <w:tcW w:w="196" w:type="pct"/>
            <w:tcBorders>
              <w:top w:val="nil"/>
              <w:left w:val="single" w:color="auto" w:sz="4" w:space="0"/>
              <w:bottom w:val="single" w:color="auto" w:sz="4" w:space="0"/>
              <w:right w:val="single" w:color="auto" w:sz="4" w:space="0"/>
            </w:tcBorders>
            <w:shd w:val="clear" w:color="auto" w:fill="auto"/>
            <w:noWrap/>
            <w:vAlign w:val="center"/>
          </w:tcPr>
          <w:p w14:paraId="78E3E2B8">
            <w:pPr>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1</w:t>
            </w:r>
          </w:p>
        </w:tc>
        <w:tc>
          <w:tcPr>
            <w:tcW w:w="852" w:type="pct"/>
            <w:vMerge w:val="continue"/>
            <w:tcBorders>
              <w:top w:val="nil"/>
              <w:left w:val="single" w:color="auto" w:sz="4" w:space="0"/>
              <w:bottom w:val="single" w:color="auto" w:sz="4" w:space="0"/>
              <w:right w:val="single" w:color="auto" w:sz="4" w:space="0"/>
            </w:tcBorders>
            <w:vAlign w:val="center"/>
          </w:tcPr>
          <w:p w14:paraId="245078C3">
            <w:pPr>
              <w:jc w:val="left"/>
              <w:rPr>
                <w:rFonts w:ascii="宋体" w:hAnsi="宋体" w:eastAsia="宋体" w:cs="宋体"/>
                <w:color w:val="auto"/>
                <w:kern w:val="0"/>
                <w:szCs w:val="21"/>
                <w:highlight w:val="none"/>
              </w:rPr>
            </w:pPr>
          </w:p>
        </w:tc>
        <w:tc>
          <w:tcPr>
            <w:tcW w:w="2586" w:type="pct"/>
            <w:tcBorders>
              <w:top w:val="nil"/>
              <w:left w:val="nil"/>
              <w:bottom w:val="single" w:color="auto" w:sz="4" w:space="0"/>
              <w:right w:val="single" w:color="auto" w:sz="4" w:space="0"/>
            </w:tcBorders>
            <w:shd w:val="clear" w:color="auto" w:fill="auto"/>
            <w:vAlign w:val="center"/>
          </w:tcPr>
          <w:p w14:paraId="16ADB19D">
            <w:pPr>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网络路由性能良好</w:t>
            </w:r>
          </w:p>
        </w:tc>
        <w:tc>
          <w:tcPr>
            <w:tcW w:w="448" w:type="pct"/>
            <w:tcBorders>
              <w:top w:val="nil"/>
              <w:left w:val="nil"/>
              <w:bottom w:val="single" w:color="auto" w:sz="4" w:space="0"/>
              <w:right w:val="single" w:color="auto" w:sz="4" w:space="0"/>
            </w:tcBorders>
            <w:shd w:val="clear" w:color="auto" w:fill="auto"/>
            <w:vAlign w:val="center"/>
          </w:tcPr>
          <w:p w14:paraId="03F8F455">
            <w:pPr>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10</w:t>
            </w:r>
          </w:p>
        </w:tc>
        <w:tc>
          <w:tcPr>
            <w:tcW w:w="501" w:type="pct"/>
            <w:tcBorders>
              <w:top w:val="nil"/>
              <w:left w:val="nil"/>
              <w:bottom w:val="single" w:color="auto" w:sz="4" w:space="0"/>
              <w:right w:val="single" w:color="auto" w:sz="4" w:space="0"/>
            </w:tcBorders>
            <w:shd w:val="clear" w:color="auto" w:fill="auto"/>
            <w:noWrap/>
            <w:vAlign w:val="bottom"/>
          </w:tcPr>
          <w:p w14:paraId="5E08ECE2">
            <w:pPr>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414" w:type="pct"/>
            <w:vMerge w:val="continue"/>
            <w:tcBorders>
              <w:top w:val="nil"/>
              <w:left w:val="single" w:color="auto" w:sz="4" w:space="0"/>
              <w:bottom w:val="single" w:color="000000" w:sz="4" w:space="0"/>
              <w:right w:val="single" w:color="auto" w:sz="4" w:space="0"/>
            </w:tcBorders>
            <w:vAlign w:val="center"/>
          </w:tcPr>
          <w:p w14:paraId="73100984">
            <w:pPr>
              <w:jc w:val="left"/>
              <w:rPr>
                <w:rFonts w:ascii="宋体" w:hAnsi="宋体" w:eastAsia="宋体" w:cs="宋体"/>
                <w:color w:val="auto"/>
                <w:kern w:val="0"/>
                <w:sz w:val="28"/>
                <w:szCs w:val="28"/>
                <w:highlight w:val="none"/>
              </w:rPr>
            </w:pPr>
          </w:p>
        </w:tc>
      </w:tr>
      <w:tr w14:paraId="17D2004F">
        <w:tblPrEx>
          <w:tblCellMar>
            <w:top w:w="0" w:type="dxa"/>
            <w:left w:w="108" w:type="dxa"/>
            <w:bottom w:w="0" w:type="dxa"/>
            <w:right w:w="108" w:type="dxa"/>
          </w:tblCellMar>
        </w:tblPrEx>
        <w:trPr>
          <w:trHeight w:val="1061" w:hRule="atLeast"/>
          <w:jc w:val="center"/>
        </w:trPr>
        <w:tc>
          <w:tcPr>
            <w:tcW w:w="1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08996C">
            <w:pPr>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2</w:t>
            </w:r>
          </w:p>
        </w:tc>
        <w:tc>
          <w:tcPr>
            <w:tcW w:w="852" w:type="pct"/>
            <w:vMerge w:val="continue"/>
            <w:tcBorders>
              <w:top w:val="single" w:color="auto" w:sz="4" w:space="0"/>
              <w:left w:val="single" w:color="auto" w:sz="4" w:space="0"/>
              <w:bottom w:val="single" w:color="auto" w:sz="4" w:space="0"/>
              <w:right w:val="single" w:color="auto" w:sz="4" w:space="0"/>
            </w:tcBorders>
            <w:vAlign w:val="center"/>
          </w:tcPr>
          <w:p w14:paraId="37CA1239">
            <w:pPr>
              <w:jc w:val="left"/>
              <w:rPr>
                <w:rFonts w:ascii="宋体" w:hAnsi="宋体" w:eastAsia="宋体" w:cs="宋体"/>
                <w:color w:val="auto"/>
                <w:kern w:val="0"/>
                <w:szCs w:val="21"/>
                <w:highlight w:val="none"/>
              </w:rPr>
            </w:pPr>
          </w:p>
        </w:tc>
        <w:tc>
          <w:tcPr>
            <w:tcW w:w="2586" w:type="pct"/>
            <w:tcBorders>
              <w:top w:val="single" w:color="auto" w:sz="4" w:space="0"/>
              <w:left w:val="nil"/>
              <w:bottom w:val="single" w:color="auto" w:sz="4" w:space="0"/>
              <w:right w:val="single" w:color="auto" w:sz="4" w:space="0"/>
            </w:tcBorders>
            <w:shd w:val="clear" w:color="auto" w:fill="auto"/>
            <w:vAlign w:val="center"/>
          </w:tcPr>
          <w:p w14:paraId="2CDFC931">
            <w:pPr>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具有QOS质量保障，师生在工作日因带宽质量问题（其他原因不算）而向学校网络管理部门的有效投诉，每周不得多于合同约定的次数或不大于5次</w:t>
            </w:r>
          </w:p>
        </w:tc>
        <w:tc>
          <w:tcPr>
            <w:tcW w:w="448" w:type="pct"/>
            <w:tcBorders>
              <w:top w:val="single" w:color="auto" w:sz="4" w:space="0"/>
              <w:left w:val="nil"/>
              <w:bottom w:val="single" w:color="auto" w:sz="4" w:space="0"/>
              <w:right w:val="single" w:color="auto" w:sz="4" w:space="0"/>
            </w:tcBorders>
            <w:shd w:val="clear" w:color="auto" w:fill="auto"/>
            <w:vAlign w:val="center"/>
          </w:tcPr>
          <w:p w14:paraId="79E23119">
            <w:pPr>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10</w:t>
            </w:r>
          </w:p>
        </w:tc>
        <w:tc>
          <w:tcPr>
            <w:tcW w:w="501" w:type="pct"/>
            <w:tcBorders>
              <w:top w:val="single" w:color="auto" w:sz="4" w:space="0"/>
              <w:left w:val="nil"/>
              <w:bottom w:val="single" w:color="auto" w:sz="4" w:space="0"/>
              <w:right w:val="single" w:color="auto" w:sz="4" w:space="0"/>
            </w:tcBorders>
            <w:shd w:val="clear" w:color="auto" w:fill="auto"/>
            <w:noWrap/>
            <w:vAlign w:val="bottom"/>
          </w:tcPr>
          <w:p w14:paraId="2C662B0A">
            <w:pPr>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414" w:type="pct"/>
            <w:vMerge w:val="continue"/>
            <w:tcBorders>
              <w:top w:val="nil"/>
              <w:left w:val="single" w:color="auto" w:sz="4" w:space="0"/>
              <w:bottom w:val="nil"/>
              <w:right w:val="single" w:color="auto" w:sz="4" w:space="0"/>
            </w:tcBorders>
            <w:vAlign w:val="center"/>
          </w:tcPr>
          <w:p w14:paraId="66FC14F4">
            <w:pPr>
              <w:jc w:val="left"/>
              <w:rPr>
                <w:rFonts w:ascii="宋体" w:hAnsi="宋体" w:eastAsia="宋体" w:cs="宋体"/>
                <w:color w:val="auto"/>
                <w:kern w:val="0"/>
                <w:sz w:val="28"/>
                <w:szCs w:val="28"/>
                <w:highlight w:val="none"/>
              </w:rPr>
            </w:pPr>
          </w:p>
        </w:tc>
      </w:tr>
      <w:tr w14:paraId="197EBC51">
        <w:tblPrEx>
          <w:tblCellMar>
            <w:top w:w="0" w:type="dxa"/>
            <w:left w:w="108" w:type="dxa"/>
            <w:bottom w:w="0" w:type="dxa"/>
            <w:right w:w="108" w:type="dxa"/>
          </w:tblCellMar>
        </w:tblPrEx>
        <w:trPr>
          <w:trHeight w:val="71" w:hRule="atLeast"/>
          <w:jc w:val="center"/>
        </w:trPr>
        <w:tc>
          <w:tcPr>
            <w:tcW w:w="363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125D1BC">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w:t>
            </w:r>
          </w:p>
        </w:tc>
        <w:tc>
          <w:tcPr>
            <w:tcW w:w="448" w:type="pct"/>
            <w:tcBorders>
              <w:top w:val="single" w:color="auto" w:sz="4" w:space="0"/>
              <w:left w:val="nil"/>
              <w:bottom w:val="single" w:color="auto" w:sz="4" w:space="0"/>
              <w:right w:val="single" w:color="auto" w:sz="4" w:space="0"/>
            </w:tcBorders>
            <w:shd w:val="clear" w:color="auto" w:fill="auto"/>
            <w:vAlign w:val="center"/>
          </w:tcPr>
          <w:p w14:paraId="7A095996">
            <w:pPr>
              <w:jc w:val="center"/>
              <w:rPr>
                <w:rFonts w:hint="eastAsia" w:ascii="宋体" w:hAnsi="宋体" w:eastAsia="宋体" w:cs="宋体"/>
                <w:color w:val="auto"/>
                <w:kern w:val="0"/>
                <w:sz w:val="28"/>
                <w:szCs w:val="28"/>
                <w:highlight w:val="none"/>
              </w:rPr>
            </w:pPr>
          </w:p>
        </w:tc>
        <w:tc>
          <w:tcPr>
            <w:tcW w:w="501" w:type="pct"/>
            <w:tcBorders>
              <w:top w:val="single" w:color="auto" w:sz="4" w:space="0"/>
              <w:left w:val="nil"/>
              <w:bottom w:val="single" w:color="auto" w:sz="4" w:space="0"/>
              <w:right w:val="single" w:color="auto" w:sz="4" w:space="0"/>
            </w:tcBorders>
            <w:shd w:val="clear" w:color="auto" w:fill="auto"/>
            <w:noWrap/>
            <w:vAlign w:val="bottom"/>
          </w:tcPr>
          <w:p w14:paraId="2AD54404">
            <w:pPr>
              <w:jc w:val="left"/>
              <w:rPr>
                <w:rFonts w:hint="eastAsia" w:ascii="宋体" w:hAnsi="宋体" w:eastAsia="宋体" w:cs="宋体"/>
                <w:color w:val="auto"/>
                <w:kern w:val="0"/>
                <w:sz w:val="28"/>
                <w:szCs w:val="28"/>
                <w:highlight w:val="none"/>
              </w:rPr>
            </w:pPr>
          </w:p>
        </w:tc>
        <w:tc>
          <w:tcPr>
            <w:tcW w:w="414" w:type="pct"/>
            <w:tcBorders>
              <w:top w:val="nil"/>
              <w:left w:val="single" w:color="auto" w:sz="4" w:space="0"/>
              <w:bottom w:val="single" w:color="000000" w:sz="4" w:space="0"/>
              <w:right w:val="single" w:color="auto" w:sz="4" w:space="0"/>
            </w:tcBorders>
            <w:vAlign w:val="center"/>
          </w:tcPr>
          <w:p w14:paraId="0FF1450D">
            <w:pPr>
              <w:jc w:val="left"/>
              <w:rPr>
                <w:rFonts w:ascii="宋体" w:hAnsi="宋体" w:eastAsia="宋体" w:cs="宋体"/>
                <w:color w:val="auto"/>
                <w:kern w:val="0"/>
                <w:sz w:val="28"/>
                <w:szCs w:val="28"/>
                <w:highlight w:val="none"/>
              </w:rPr>
            </w:pPr>
          </w:p>
        </w:tc>
      </w:tr>
    </w:tbl>
    <w:p w14:paraId="5F4E6AF8">
      <w:pPr>
        <w:pStyle w:val="7"/>
        <w:numPr>
          <w:numId w:val="0"/>
        </w:numPr>
        <w:spacing w:line="360" w:lineRule="auto"/>
        <w:ind w:leftChars="200"/>
        <w:jc w:val="left"/>
        <w:rPr>
          <w:rFonts w:ascii="宋体" w:hAnsi="宋体" w:eastAsia="宋体"/>
          <w:color w:val="auto"/>
          <w:sz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0382D"/>
    <w:multiLevelType w:val="multilevel"/>
    <w:tmpl w:val="A930382D"/>
    <w:lvl w:ilvl="0" w:tentative="0">
      <w:start w:val="9"/>
      <w:numFmt w:val="decimal"/>
      <w:suff w:val="nothing"/>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
    <w:nsid w:val="667D99C2"/>
    <w:multiLevelType w:val="singleLevel"/>
    <w:tmpl w:val="667D99C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3D4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5">
    <w:name w:val="D&amp;L"/>
    <w:basedOn w:val="2"/>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6">
    <w:name w:val="xl31"/>
    <w:basedOn w:val="1"/>
    <w:autoRedefine/>
    <w:qFormat/>
    <w:uiPriority w:val="0"/>
    <w:pPr>
      <w:widowControl/>
      <w:spacing w:before="100" w:beforeAutospacing="1" w:after="100" w:afterAutospacing="1"/>
      <w:jc w:val="center"/>
    </w:pPr>
    <w:rPr>
      <w:b/>
      <w:bCs/>
      <w:kern w:val="0"/>
      <w:sz w:val="28"/>
      <w:szCs w:val="28"/>
    </w:rPr>
  </w:style>
  <w:style w:type="paragraph" w:styleId="7">
    <w:name w:val="List Paragraph"/>
    <w:basedOn w:val="1"/>
    <w:autoRedefine/>
    <w:qFormat/>
    <w:uiPriority w:val="1"/>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2025-07-02T00:31:49Z</dcterms:created>
  <dc:creator>admin</dc:creator>
  <cp:lastModifiedBy>王婧</cp:lastModifiedBy>
  <dcterms:modified xsi:type="dcterms:W3CDTF">2025-07-02T00:32:37Z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eyJoZGlkIjoiNmRhNTI4MTI5MmZhYjI4MzA4Y2M5YzlhMmQ2OTBlZmYiLCJ1c2VySWQiOiIxNTE4NTIyNTc5In0=</vt:lpwstr>
  </property>
  <property fmtid="{D5CDD505-2E9C-101B-9397-08002B2CF9AE}" pid="4" name="ICV">
    <vt:lpwstr>3C18624C325C475B9B4F27A64A04D55E_12</vt:lpwstr>
  </property>
</Properties>
</file>