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9738B">
      <w:pPr>
        <w:spacing w:line="360" w:lineRule="auto"/>
        <w:jc w:val="center"/>
        <w:outlineLvl w:val="1"/>
        <w:rPr>
          <w:rFonts w:ascii="Times New Roman" w:hAnsi="Times New Roman" w:eastAsia="宋体" w:cs="Times New Roman"/>
          <w:b/>
          <w:sz w:val="28"/>
        </w:rPr>
      </w:pPr>
      <w:bookmarkStart w:id="0" w:name="_Toc17676"/>
      <w:bookmarkStart w:id="1" w:name="_Toc31023"/>
      <w:r>
        <w:rPr>
          <w:rFonts w:hint="eastAsia" w:ascii="Times New Roman" w:hAnsi="Times New Roman" w:eastAsia="宋体" w:cs="Times New Roman"/>
          <w:b/>
          <w:sz w:val="28"/>
        </w:rPr>
        <w:t>招标</w:t>
      </w:r>
      <w:r>
        <w:rPr>
          <w:rFonts w:ascii="Times New Roman" w:hAnsi="Times New Roman" w:eastAsia="宋体" w:cs="Times New Roman"/>
          <w:b/>
          <w:sz w:val="28"/>
        </w:rPr>
        <w:t>需求</w:t>
      </w:r>
      <w:bookmarkEnd w:id="0"/>
      <w:bookmarkEnd w:id="1"/>
    </w:p>
    <w:p w14:paraId="007D63FB">
      <w:pPr>
        <w:spacing w:line="360" w:lineRule="auto"/>
        <w:rPr>
          <w:rFonts w:ascii="Times New Roman" w:hAnsi="Times New Roman" w:eastAsia="宋体" w:cs="Times New Roman"/>
          <w:b/>
          <w:sz w:val="24"/>
        </w:rPr>
      </w:pPr>
      <w:r>
        <w:rPr>
          <w:rFonts w:ascii="Times New Roman" w:hAnsi="Times New Roman" w:eastAsia="宋体" w:cs="Times New Roman"/>
          <w:b/>
          <w:sz w:val="24"/>
        </w:rPr>
        <w:t>前注：</w:t>
      </w:r>
    </w:p>
    <w:p w14:paraId="7BDC401C">
      <w:pPr>
        <w:spacing w:line="360" w:lineRule="auto"/>
        <w:ind w:firstLine="435"/>
        <w:rPr>
          <w:rFonts w:ascii="Times New Roman" w:hAnsi="Times New Roman" w:eastAsia="宋体" w:cs="Times New Roman"/>
          <w:sz w:val="24"/>
          <w:szCs w:val="18"/>
        </w:rPr>
      </w:pPr>
      <w:r>
        <w:rPr>
          <w:rFonts w:ascii="Times New Roman" w:hAnsi="Times New Roman" w:eastAsia="宋体" w:cs="Times New Roman"/>
          <w:sz w:val="24"/>
        </w:rPr>
        <w:t>1.</w:t>
      </w:r>
      <w:r>
        <w:rPr>
          <w:rFonts w:ascii="Times New Roman" w:hAnsi="Times New Roman" w:eastAsia="宋体" w:cs="Times New Roman"/>
          <w:sz w:val="24"/>
          <w:szCs w:val="18"/>
        </w:rPr>
        <w:t>下列采购需求中：标注▲的产品（核心产品），投标人在投标文件《主要中标标的承诺函》中填写名称、品牌、规格、型号、数量、单价等信息。</w:t>
      </w:r>
    </w:p>
    <w:p w14:paraId="2E90BA57">
      <w:pPr>
        <w:pStyle w:val="11"/>
        <w:spacing w:line="360" w:lineRule="auto"/>
        <w:rPr>
          <w:rFonts w:ascii="Times New Roman" w:hAnsi="Times New Roman" w:eastAsia="宋体" w:cs="Times New Roman"/>
          <w:sz w:val="24"/>
          <w:szCs w:val="18"/>
        </w:rPr>
      </w:pPr>
      <w:r>
        <w:rPr>
          <w:rFonts w:hint="eastAsia" w:ascii="Times New Roman" w:hAnsi="Times New Roman" w:eastAsia="宋体" w:cs="Times New Roman"/>
          <w:sz w:val="24"/>
          <w:szCs w:val="18"/>
        </w:rPr>
        <w:t>2、指标类型“▲”为核心产品，★为重要指标，其它均为一般指标。</w:t>
      </w:r>
    </w:p>
    <w:p w14:paraId="78C4D0AF">
      <w:pPr>
        <w:spacing w:line="360" w:lineRule="auto"/>
      </w:pPr>
    </w:p>
    <w:p w14:paraId="580A22DC">
      <w:pPr>
        <w:spacing w:line="360" w:lineRule="auto"/>
        <w:ind w:firstLine="437"/>
        <w:jc w:val="center"/>
        <w:rPr>
          <w:rFonts w:ascii="Times New Roman" w:hAnsi="Times New Roman" w:eastAsia="宋体" w:cs="Times New Roman"/>
          <w:b/>
          <w:sz w:val="24"/>
          <w:szCs w:val="18"/>
        </w:rPr>
      </w:pPr>
      <w:r>
        <w:rPr>
          <w:rFonts w:hint="eastAsia" w:ascii="Times New Roman" w:hAnsi="Times New Roman" w:eastAsia="宋体" w:cs="Times New Roman"/>
          <w:b/>
          <w:sz w:val="24"/>
          <w:szCs w:val="18"/>
        </w:rPr>
        <w:t>招标</w:t>
      </w:r>
      <w:r>
        <w:rPr>
          <w:rFonts w:ascii="Times New Roman" w:hAnsi="Times New Roman" w:eastAsia="宋体" w:cs="Times New Roman"/>
          <w:b/>
          <w:sz w:val="24"/>
          <w:szCs w:val="18"/>
        </w:rPr>
        <w:t>需求前附表</w:t>
      </w:r>
    </w:p>
    <w:tbl>
      <w:tblPr>
        <w:tblStyle w:val="1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214"/>
        <w:gridCol w:w="5976"/>
      </w:tblGrid>
      <w:tr w14:paraId="0D23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8" w:type="dxa"/>
            <w:vAlign w:val="center"/>
          </w:tcPr>
          <w:p w14:paraId="3AD3E737">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
                <w:kern w:val="2"/>
              </w:rPr>
            </w:pPr>
            <w:r>
              <w:rPr>
                <w:rFonts w:ascii="Times New Roman" w:hAnsi="Times New Roman" w:eastAsia="宋体" w:cs="Times New Roman"/>
                <w:b/>
                <w:kern w:val="2"/>
              </w:rPr>
              <w:t>序号</w:t>
            </w:r>
          </w:p>
        </w:tc>
        <w:tc>
          <w:tcPr>
            <w:tcW w:w="2214" w:type="dxa"/>
            <w:vAlign w:val="center"/>
          </w:tcPr>
          <w:p w14:paraId="7EB0E083">
            <w:pPr>
              <w:pStyle w:val="18"/>
              <w:widowControl w:val="0"/>
              <w:spacing w:before="0" w:beforeAutospacing="0" w:after="0" w:afterAutospacing="0" w:line="360" w:lineRule="auto"/>
              <w:rPr>
                <w:rFonts w:ascii="Times New Roman" w:hAnsi="Times New Roman" w:eastAsia="宋体" w:cs="Times New Roman"/>
                <w:bCs w:val="0"/>
                <w:sz w:val="24"/>
              </w:rPr>
            </w:pPr>
            <w:r>
              <w:rPr>
                <w:rFonts w:ascii="Times New Roman" w:hAnsi="Times New Roman" w:eastAsia="宋体" w:cs="Times New Roman"/>
                <w:bCs w:val="0"/>
                <w:sz w:val="24"/>
              </w:rPr>
              <w:t>条款名称</w:t>
            </w:r>
          </w:p>
        </w:tc>
        <w:tc>
          <w:tcPr>
            <w:tcW w:w="5976" w:type="dxa"/>
            <w:vAlign w:val="center"/>
          </w:tcPr>
          <w:p w14:paraId="549F150F">
            <w:pPr>
              <w:pStyle w:val="18"/>
              <w:widowControl w:val="0"/>
              <w:spacing w:before="0" w:beforeAutospacing="0" w:after="0" w:afterAutospacing="0" w:line="360" w:lineRule="auto"/>
              <w:rPr>
                <w:rFonts w:ascii="Times New Roman" w:hAnsi="Times New Roman" w:eastAsia="宋体" w:cs="Times New Roman"/>
                <w:bCs w:val="0"/>
                <w:sz w:val="24"/>
              </w:rPr>
            </w:pPr>
            <w:r>
              <w:rPr>
                <w:rFonts w:ascii="Times New Roman" w:hAnsi="Times New Roman" w:eastAsia="宋体" w:cs="Times New Roman"/>
                <w:bCs w:val="0"/>
                <w:sz w:val="24"/>
              </w:rPr>
              <w:t>内容、说明与要求</w:t>
            </w:r>
          </w:p>
        </w:tc>
      </w:tr>
      <w:tr w14:paraId="0F51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8" w:type="dxa"/>
            <w:vAlign w:val="center"/>
          </w:tcPr>
          <w:p w14:paraId="3CFAB6ED">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ascii="Times New Roman" w:hAnsi="Times New Roman" w:eastAsia="宋体" w:cs="Times New Roman"/>
                <w:bCs/>
                <w:kern w:val="2"/>
              </w:rPr>
              <w:t>1</w:t>
            </w:r>
          </w:p>
        </w:tc>
        <w:tc>
          <w:tcPr>
            <w:tcW w:w="2214" w:type="dxa"/>
            <w:vAlign w:val="center"/>
          </w:tcPr>
          <w:p w14:paraId="335A7CAA">
            <w:pPr>
              <w:pStyle w:val="18"/>
              <w:widowControl w:val="0"/>
              <w:spacing w:before="0" w:beforeAutospacing="0" w:after="0" w:afterAutospacing="0" w:line="360" w:lineRule="auto"/>
              <w:rPr>
                <w:rFonts w:ascii="Times New Roman" w:hAnsi="Times New Roman" w:eastAsia="宋体" w:cs="Times New Roman"/>
                <w:b w:val="0"/>
                <w:sz w:val="24"/>
              </w:rPr>
            </w:pPr>
            <w:r>
              <w:rPr>
                <w:rFonts w:ascii="Times New Roman" w:hAnsi="Times New Roman" w:eastAsia="宋体" w:cs="Times New Roman"/>
                <w:b w:val="0"/>
                <w:sz w:val="24"/>
              </w:rPr>
              <w:t>付款方式</w:t>
            </w:r>
          </w:p>
        </w:tc>
        <w:tc>
          <w:tcPr>
            <w:tcW w:w="5976" w:type="dxa"/>
            <w:vAlign w:val="center"/>
          </w:tcPr>
          <w:p w14:paraId="71F73529">
            <w:pPr>
              <w:pStyle w:val="18"/>
              <w:widowControl w:val="0"/>
              <w:spacing w:before="0" w:beforeAutospacing="0" w:after="0" w:afterAutospacing="0" w:line="360" w:lineRule="auto"/>
              <w:jc w:val="both"/>
            </w:pPr>
            <w:r>
              <w:rPr>
                <w:rFonts w:hint="eastAsia" w:ascii="宋体" w:hAnsi="宋体" w:eastAsia="宋体" w:cs="宋体"/>
                <w:b w:val="0"/>
                <w:bCs w:val="0"/>
                <w:color w:val="000000" w:themeColor="text1"/>
                <w:sz w:val="24"/>
                <w:szCs w:val="24"/>
                <w14:textFill>
                  <w14:solidFill>
                    <w14:schemeClr w14:val="tx1"/>
                  </w14:solidFill>
                </w14:textFill>
              </w:rPr>
              <w:t>验收合格后支付至合同金额的95%，剩余5%待免费质保期满后支付。</w:t>
            </w:r>
          </w:p>
          <w:p w14:paraId="714B2055">
            <w:pPr>
              <w:pStyle w:val="18"/>
              <w:widowControl w:val="0"/>
              <w:spacing w:before="0" w:beforeAutospacing="0" w:after="0" w:afterAutospacing="0" w:line="360" w:lineRule="auto"/>
              <w:jc w:val="both"/>
            </w:pPr>
            <w:r>
              <w:rPr>
                <w:rFonts w:hint="eastAsia" w:ascii="宋体" w:hAnsi="宋体" w:eastAsia="宋体" w:cs="宋体"/>
                <w:b w:val="0"/>
                <w:bCs w:val="0"/>
                <w:color w:val="000000" w:themeColor="text1"/>
                <w:sz w:val="24"/>
                <w:szCs w:val="24"/>
                <w14:textFill>
                  <w14:solidFill>
                    <w14:schemeClr w14:val="tx1"/>
                  </w14:solidFill>
                </w14:textFill>
              </w:rPr>
              <w:t>付款方：中国农业银行股份有限公司合肥经济技术开发区支行</w:t>
            </w:r>
          </w:p>
        </w:tc>
      </w:tr>
      <w:tr w14:paraId="0C0A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8" w:type="dxa"/>
            <w:vAlign w:val="center"/>
          </w:tcPr>
          <w:p w14:paraId="34AAEB60">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ascii="Times New Roman" w:hAnsi="Times New Roman" w:eastAsia="宋体" w:cs="Times New Roman"/>
                <w:bCs/>
                <w:kern w:val="2"/>
              </w:rPr>
              <w:t>2</w:t>
            </w:r>
          </w:p>
        </w:tc>
        <w:tc>
          <w:tcPr>
            <w:tcW w:w="2214" w:type="dxa"/>
            <w:vAlign w:val="center"/>
          </w:tcPr>
          <w:p w14:paraId="48C773C7">
            <w:pPr>
              <w:pStyle w:val="18"/>
              <w:widowControl w:val="0"/>
              <w:spacing w:before="0" w:beforeAutospacing="0" w:after="0" w:afterAutospacing="0" w:line="360" w:lineRule="auto"/>
              <w:rPr>
                <w:rFonts w:ascii="Times New Roman" w:hAnsi="Times New Roman" w:eastAsia="宋体" w:cs="Times New Roman"/>
                <w:b w:val="0"/>
                <w:sz w:val="24"/>
              </w:rPr>
            </w:pPr>
            <w:r>
              <w:rPr>
                <w:rFonts w:ascii="Times New Roman" w:hAnsi="Times New Roman" w:eastAsia="宋体" w:cs="Times New Roman"/>
                <w:b w:val="0"/>
                <w:sz w:val="24"/>
              </w:rPr>
              <w:t>供货及安装地点</w:t>
            </w:r>
          </w:p>
        </w:tc>
        <w:tc>
          <w:tcPr>
            <w:tcW w:w="5976" w:type="dxa"/>
            <w:vAlign w:val="center"/>
          </w:tcPr>
          <w:p w14:paraId="76C56114">
            <w:pPr>
              <w:pStyle w:val="18"/>
              <w:widowControl w:val="0"/>
              <w:spacing w:before="0" w:beforeAutospacing="0" w:after="0" w:afterAutospacing="0" w:line="360" w:lineRule="auto"/>
              <w:jc w:val="both"/>
              <w:rPr>
                <w:rFonts w:ascii="Times New Roman" w:hAnsi="Times New Roman" w:eastAsia="宋体" w:cs="Times New Roman"/>
                <w:b w:val="0"/>
                <w:sz w:val="24"/>
              </w:rPr>
            </w:pPr>
            <w:r>
              <w:rPr>
                <w:rFonts w:hint="eastAsia" w:ascii="Times New Roman" w:hAnsi="Times New Roman" w:eastAsia="宋体" w:cs="Times New Roman"/>
                <w:b w:val="0"/>
                <w:sz w:val="24"/>
              </w:rPr>
              <w:t>招标人指定地点</w:t>
            </w:r>
          </w:p>
        </w:tc>
      </w:tr>
      <w:tr w14:paraId="6D08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8" w:type="dxa"/>
            <w:vAlign w:val="center"/>
          </w:tcPr>
          <w:p w14:paraId="21827417">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ascii="Times New Roman" w:hAnsi="Times New Roman" w:eastAsia="宋体" w:cs="Times New Roman"/>
                <w:bCs/>
                <w:kern w:val="2"/>
              </w:rPr>
              <w:t>3</w:t>
            </w:r>
          </w:p>
        </w:tc>
        <w:tc>
          <w:tcPr>
            <w:tcW w:w="2214" w:type="dxa"/>
            <w:vAlign w:val="center"/>
          </w:tcPr>
          <w:p w14:paraId="65FC692C">
            <w:pPr>
              <w:pStyle w:val="18"/>
              <w:widowControl w:val="0"/>
              <w:spacing w:before="0" w:beforeAutospacing="0" w:after="0" w:afterAutospacing="0" w:line="360" w:lineRule="auto"/>
              <w:rPr>
                <w:rFonts w:ascii="Times New Roman" w:hAnsi="Times New Roman" w:eastAsia="宋体" w:cs="Times New Roman"/>
                <w:b w:val="0"/>
                <w:sz w:val="24"/>
              </w:rPr>
            </w:pPr>
            <w:r>
              <w:rPr>
                <w:rFonts w:ascii="Times New Roman" w:hAnsi="Times New Roman" w:eastAsia="宋体" w:cs="Times New Roman"/>
                <w:b w:val="0"/>
                <w:sz w:val="24"/>
              </w:rPr>
              <w:t>供货及安装期限</w:t>
            </w:r>
          </w:p>
        </w:tc>
        <w:tc>
          <w:tcPr>
            <w:tcW w:w="5976" w:type="dxa"/>
            <w:vAlign w:val="center"/>
          </w:tcPr>
          <w:p w14:paraId="1718980E">
            <w:pPr>
              <w:spacing w:line="360" w:lineRule="auto"/>
              <w:rPr>
                <w:rFonts w:ascii="Times New Roman" w:hAnsi="Times New Roman" w:eastAsia="宋体" w:cs="Times New Roman"/>
                <w:sz w:val="24"/>
              </w:rPr>
            </w:pPr>
            <w:r>
              <w:rPr>
                <w:rFonts w:hint="eastAsia" w:ascii="Times New Roman" w:hAnsi="Times New Roman" w:eastAsia="宋体" w:cs="Times New Roman"/>
                <w:color w:val="000000" w:themeColor="text1"/>
                <w:sz w:val="24"/>
                <w:szCs w:val="24"/>
                <w14:textFill>
                  <w14:solidFill>
                    <w14:schemeClr w14:val="tx1"/>
                  </w14:solidFill>
                </w14:textFill>
              </w:rPr>
              <w:t>合同签订后60天内到货，按招标人要求的时间内安装完毕。</w:t>
            </w:r>
          </w:p>
        </w:tc>
      </w:tr>
      <w:tr w14:paraId="0C98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8" w:type="dxa"/>
            <w:vAlign w:val="center"/>
          </w:tcPr>
          <w:p w14:paraId="1FB48D8E">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ascii="Times New Roman" w:hAnsi="Times New Roman" w:eastAsia="宋体" w:cs="Times New Roman"/>
                <w:bCs/>
                <w:kern w:val="2"/>
              </w:rPr>
              <w:t>4</w:t>
            </w:r>
          </w:p>
        </w:tc>
        <w:tc>
          <w:tcPr>
            <w:tcW w:w="2214" w:type="dxa"/>
            <w:vAlign w:val="center"/>
          </w:tcPr>
          <w:p w14:paraId="22D4DACB">
            <w:pPr>
              <w:pStyle w:val="18"/>
              <w:widowControl w:val="0"/>
              <w:spacing w:before="0" w:beforeAutospacing="0" w:after="0" w:afterAutospacing="0" w:line="360" w:lineRule="auto"/>
              <w:rPr>
                <w:rFonts w:ascii="Times New Roman" w:hAnsi="Times New Roman" w:eastAsia="宋体" w:cs="Times New Roman"/>
                <w:b w:val="0"/>
                <w:sz w:val="24"/>
              </w:rPr>
            </w:pPr>
            <w:r>
              <w:rPr>
                <w:rFonts w:ascii="Times New Roman" w:hAnsi="Times New Roman" w:eastAsia="宋体" w:cs="Times New Roman"/>
                <w:b w:val="0"/>
                <w:sz w:val="24"/>
              </w:rPr>
              <w:t>免费质保期</w:t>
            </w:r>
          </w:p>
        </w:tc>
        <w:tc>
          <w:tcPr>
            <w:tcW w:w="5976" w:type="dxa"/>
            <w:vAlign w:val="center"/>
          </w:tcPr>
          <w:p w14:paraId="592F6395">
            <w:pPr>
              <w:pStyle w:val="18"/>
              <w:widowControl w:val="0"/>
              <w:spacing w:before="0" w:beforeAutospacing="0" w:after="0" w:afterAutospacing="0" w:line="360" w:lineRule="auto"/>
              <w:jc w:val="both"/>
              <w:rPr>
                <w:rFonts w:ascii="Times New Roman" w:hAnsi="Times New Roman" w:eastAsia="宋体" w:cs="Times New Roman"/>
                <w:b w:val="0"/>
                <w:sz w:val="24"/>
              </w:rPr>
            </w:pPr>
            <w:r>
              <w:rPr>
                <w:rFonts w:hint="eastAsia" w:ascii="Times New Roman" w:hAnsi="Times New Roman" w:eastAsia="宋体" w:cs="Times New Roman"/>
                <w:b w:val="0"/>
                <w:sz w:val="24"/>
              </w:rPr>
              <w:t>本项目原厂免费质量保证期要求不低于</w:t>
            </w:r>
            <w:r>
              <w:rPr>
                <w:rFonts w:hint="eastAsia" w:ascii="Times New Roman" w:hAnsi="Times New Roman" w:eastAsia="宋体" w:cs="Times New Roman"/>
                <w:b w:val="0"/>
                <w:sz w:val="24"/>
                <w:u w:val="single"/>
              </w:rPr>
              <w:t xml:space="preserve"> 5 </w:t>
            </w:r>
            <w:r>
              <w:rPr>
                <w:rFonts w:hint="eastAsia" w:ascii="Times New Roman" w:hAnsi="Times New Roman" w:eastAsia="宋体" w:cs="Times New Roman"/>
                <w:b w:val="0"/>
                <w:sz w:val="24"/>
              </w:rPr>
              <w:t>年。免费质量保证期从货物供货、安装、调试正常且经招标人综合运行验收合格后开始计算。</w:t>
            </w:r>
          </w:p>
        </w:tc>
      </w:tr>
      <w:tr w14:paraId="4FC1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98" w:type="dxa"/>
            <w:vAlign w:val="center"/>
          </w:tcPr>
          <w:p w14:paraId="4F3CBD61">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hint="eastAsia" w:ascii="Times New Roman" w:hAnsi="Times New Roman" w:eastAsia="宋体" w:cs="Times New Roman"/>
                <w:bCs/>
                <w:kern w:val="2"/>
              </w:rPr>
              <w:t>5</w:t>
            </w:r>
          </w:p>
        </w:tc>
        <w:tc>
          <w:tcPr>
            <w:tcW w:w="2214" w:type="dxa"/>
            <w:vAlign w:val="center"/>
          </w:tcPr>
          <w:p w14:paraId="6FFFF243">
            <w:pPr>
              <w:pStyle w:val="6"/>
              <w:jc w:val="center"/>
              <w:rPr>
                <w:rFonts w:ascii="宋体" w:hAnsi="宋体" w:eastAsia="宋体" w:cs="@仿宋_GB2312"/>
                <w:color w:val="000000" w:themeColor="text1"/>
                <w:sz w:val="24"/>
                <w:lang w:val="en-US"/>
                <w14:textFill>
                  <w14:solidFill>
                    <w14:schemeClr w14:val="tx1"/>
                  </w14:solidFill>
                </w14:textFill>
              </w:rPr>
            </w:pPr>
            <w:r>
              <w:rPr>
                <w:rFonts w:hint="eastAsia" w:ascii="宋体" w:hAnsi="宋体" w:eastAsia="宋体" w:cs="@仿宋_GB2312"/>
                <w:color w:val="000000" w:themeColor="text1"/>
                <w:sz w:val="24"/>
                <w:lang w:val="en-US"/>
                <w14:textFill>
                  <w14:solidFill>
                    <w14:schemeClr w14:val="tx1"/>
                  </w14:solidFill>
                </w14:textFill>
              </w:rPr>
              <w:t>所属行业</w:t>
            </w:r>
          </w:p>
        </w:tc>
        <w:tc>
          <w:tcPr>
            <w:tcW w:w="5976" w:type="dxa"/>
            <w:vAlign w:val="center"/>
          </w:tcPr>
          <w:p w14:paraId="5D0EC076">
            <w:pPr>
              <w:pStyle w:val="6"/>
              <w:rPr>
                <w:rFonts w:ascii="宋体" w:hAnsi="宋体" w:eastAsia="宋体" w:cs="@仿宋_GB2312"/>
                <w:color w:val="000000" w:themeColor="text1"/>
                <w:sz w:val="24"/>
                <w:lang w:val="en-US"/>
                <w14:textFill>
                  <w14:solidFill>
                    <w14:schemeClr w14:val="tx1"/>
                  </w14:solidFill>
                </w14:textFill>
              </w:rPr>
            </w:pPr>
            <w:r>
              <w:rPr>
                <w:rFonts w:hint="eastAsia" w:ascii="宋体" w:hAnsi="宋体" w:eastAsia="宋体" w:cs="@仿宋_GB2312"/>
                <w:color w:val="000000" w:themeColor="text1"/>
                <w:sz w:val="24"/>
                <w:lang w:val="en-US"/>
                <w14:textFill>
                  <w14:solidFill>
                    <w14:schemeClr w14:val="tx1"/>
                  </w14:solidFill>
                </w14:textFill>
              </w:rPr>
              <w:t>工业</w:t>
            </w:r>
          </w:p>
        </w:tc>
      </w:tr>
      <w:tr w14:paraId="0EAD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98" w:type="dxa"/>
            <w:vAlign w:val="center"/>
          </w:tcPr>
          <w:p w14:paraId="3DB64981">
            <w:pPr>
              <w:pStyle w:val="17"/>
              <w:pBdr>
                <w:bottom w:val="none" w:color="auto" w:sz="0" w:space="0"/>
              </w:pBdr>
              <w:tabs>
                <w:tab w:val="clear" w:pos="4153"/>
                <w:tab w:val="clear" w:pos="8306"/>
              </w:tabs>
              <w:adjustRightInd/>
              <w:spacing w:line="240" w:lineRule="auto"/>
              <w:textAlignment w:val="auto"/>
              <w:rPr>
                <w:rFonts w:ascii="Times New Roman" w:hAnsi="Times New Roman" w:eastAsia="宋体" w:cs="Times New Roman"/>
                <w:bCs/>
                <w:kern w:val="2"/>
              </w:rPr>
            </w:pPr>
            <w:r>
              <w:rPr>
                <w:rFonts w:hint="eastAsia" w:ascii="Times New Roman" w:hAnsi="Times New Roman" w:eastAsia="宋体" w:cs="Times New Roman"/>
                <w:bCs/>
                <w:kern w:val="2"/>
              </w:rPr>
              <w:t>6</w:t>
            </w:r>
          </w:p>
        </w:tc>
        <w:tc>
          <w:tcPr>
            <w:tcW w:w="2214" w:type="dxa"/>
            <w:vAlign w:val="center"/>
          </w:tcPr>
          <w:p w14:paraId="6357674D">
            <w:pPr>
              <w:pStyle w:val="6"/>
              <w:jc w:val="center"/>
              <w:rPr>
                <w:rFonts w:ascii="宋体" w:hAnsi="宋体" w:eastAsia="宋体" w:cs="@仿宋_GB2312"/>
                <w:color w:val="000000" w:themeColor="text1"/>
                <w:sz w:val="24"/>
                <w:lang w:val="en-US"/>
                <w14:textFill>
                  <w14:solidFill>
                    <w14:schemeClr w14:val="tx1"/>
                  </w14:solidFill>
                </w14:textFill>
              </w:rPr>
            </w:pPr>
            <w:r>
              <w:rPr>
                <w:rFonts w:hint="eastAsia" w:ascii="宋体" w:hAnsi="宋体" w:eastAsia="宋体" w:cs="@仿宋_GB2312"/>
                <w:color w:val="000000" w:themeColor="text1"/>
                <w:sz w:val="24"/>
                <w:lang w:val="en-US"/>
                <w14:textFill>
                  <w14:solidFill>
                    <w14:schemeClr w14:val="tx1"/>
                  </w14:solidFill>
                </w14:textFill>
              </w:rPr>
              <w:t>备注</w:t>
            </w:r>
          </w:p>
        </w:tc>
        <w:tc>
          <w:tcPr>
            <w:tcW w:w="5976" w:type="dxa"/>
            <w:vAlign w:val="center"/>
          </w:tcPr>
          <w:p w14:paraId="1EE35FB5">
            <w:pPr>
              <w:pStyle w:val="6"/>
              <w:rPr>
                <w:rFonts w:ascii="宋体" w:hAnsi="宋体" w:eastAsia="宋体" w:cs="@仿宋_GB2312"/>
                <w:color w:val="000000" w:themeColor="text1"/>
                <w:sz w:val="24"/>
                <w:lang w:val="en-US"/>
                <w14:textFill>
                  <w14:solidFill>
                    <w14:schemeClr w14:val="tx1"/>
                  </w14:solidFill>
                </w14:textFill>
              </w:rPr>
            </w:pPr>
            <w:r>
              <w:rPr>
                <w:rFonts w:hint="eastAsia" w:ascii="宋体" w:hAnsi="宋体" w:eastAsia="宋体" w:cs="@仿宋_GB2312"/>
                <w:color w:val="000000" w:themeColor="text1"/>
                <w:sz w:val="24"/>
                <w:lang w:val="en-US"/>
                <w14:textFill>
                  <w14:solidFill>
                    <w14:schemeClr w14:val="tx1"/>
                  </w14:solidFill>
                </w14:textFill>
              </w:rPr>
              <w:t>本项目不接受进口产品投标</w:t>
            </w:r>
          </w:p>
        </w:tc>
      </w:tr>
    </w:tbl>
    <w:p w14:paraId="51C90B0D">
      <w:pPr>
        <w:rPr>
          <w:rFonts w:ascii="宋体" w:hAnsi="宋体" w:eastAsia="宋体" w:cs="宋体"/>
          <w:b/>
          <w:bCs/>
          <w:sz w:val="24"/>
          <w:szCs w:val="24"/>
        </w:rPr>
      </w:pPr>
    </w:p>
    <w:p w14:paraId="2B7138B7">
      <w:pPr>
        <w:pStyle w:val="2"/>
        <w:keepNext w:val="0"/>
        <w:keepLines w:val="0"/>
        <w:spacing w:line="240" w:lineRule="auto"/>
        <w:rPr>
          <w:rFonts w:ascii="宋体" w:hAnsi="宋体" w:eastAsia="宋体" w:cs="宋体"/>
          <w:bCs w:val="0"/>
          <w:kern w:val="2"/>
          <w:sz w:val="24"/>
          <w:szCs w:val="24"/>
        </w:rPr>
      </w:pPr>
      <w:bookmarkStart w:id="2" w:name="_Toc14788"/>
      <w:bookmarkStart w:id="3" w:name="_Toc1308"/>
      <w:r>
        <w:rPr>
          <w:rFonts w:hint="eastAsia" w:ascii="宋体" w:hAnsi="宋体" w:eastAsia="宋体" w:cs="宋体"/>
          <w:bCs w:val="0"/>
          <w:kern w:val="2"/>
          <w:sz w:val="24"/>
          <w:szCs w:val="24"/>
        </w:rPr>
        <w:t>一、总体概述</w:t>
      </w:r>
      <w:bookmarkEnd w:id="2"/>
      <w:bookmarkEnd w:id="3"/>
    </w:p>
    <w:p w14:paraId="1BB9E1D9">
      <w:pPr>
        <w:pStyle w:val="3"/>
        <w:keepNext w:val="0"/>
        <w:keepLines w:val="0"/>
        <w:spacing w:line="240" w:lineRule="auto"/>
        <w:ind w:left="900" w:hanging="900"/>
        <w:rPr>
          <w:rFonts w:ascii="宋体" w:hAnsi="宋体" w:eastAsia="宋体" w:cs="宋体"/>
          <w:kern w:val="44"/>
          <w:sz w:val="24"/>
          <w:szCs w:val="24"/>
        </w:rPr>
      </w:pPr>
      <w:bookmarkStart w:id="4" w:name="_Toc10171"/>
      <w:bookmarkStart w:id="5" w:name="_Toc12745"/>
      <w:r>
        <w:rPr>
          <w:rFonts w:hint="eastAsia" w:ascii="宋体" w:hAnsi="宋体" w:eastAsia="宋体" w:cs="宋体"/>
          <w:kern w:val="44"/>
          <w:sz w:val="24"/>
          <w:szCs w:val="24"/>
        </w:rPr>
        <w:t>1.1项目背景</w:t>
      </w:r>
      <w:bookmarkEnd w:id="4"/>
      <w:bookmarkEnd w:id="5"/>
    </w:p>
    <w:p w14:paraId="4643C401">
      <w:pPr>
        <w:pStyle w:val="19"/>
        <w:ind w:firstLine="480"/>
        <w:rPr>
          <w:rFonts w:cs="宋体"/>
        </w:rPr>
      </w:pPr>
      <w:r>
        <w:rPr>
          <w:rFonts w:hint="eastAsia" w:cs="宋体"/>
        </w:rPr>
        <w:t>合肥工业大学（屯溪路校区、翡翠湖校区、六安路校区、宣城校区）在校本科生3.3万余人、硕士研究生1.3万余人、博士研究生0.2万余人、教职工0.3万余人，单体楼宇有100余栋。合肥校区现网用户量包含本科生、硕博、教职工网络开户数约 6 万，校园网当前并发在线用户数约3万，峰值4万，未来 5到10年用户量最高可能增加至8万；宣城校区拥有宣城市独立出口，通过VPN、IPv6与合肥校区校园网互联，目前拥有校园网出口带宽12G，校园网用户超万人，在校园大部分公共区域实现高速无线WIFI覆盖。现校园网用户开户数约1.5万，未来应当支持2万。</w:t>
      </w:r>
    </w:p>
    <w:p w14:paraId="5A58303A">
      <w:pPr>
        <w:pStyle w:val="19"/>
        <w:ind w:firstLine="480"/>
        <w:rPr>
          <w:rFonts w:cs="宋体"/>
        </w:rPr>
      </w:pPr>
      <w:r>
        <w:rPr>
          <w:rFonts w:hint="eastAsia" w:cs="宋体"/>
        </w:rPr>
        <w:t>校园网络系统均采用三层网络架构，校园网核心层网络分别设置于屯溪路校区、宣城校区，承担屯溪路、翡翠湖、六安路、宣城四个校区的用户数据转发、出口访问需求。</w:t>
      </w:r>
    </w:p>
    <w:p w14:paraId="1AF56284">
      <w:pPr>
        <w:pStyle w:val="19"/>
        <w:ind w:firstLine="480"/>
        <w:rPr>
          <w:rFonts w:cs="宋体"/>
        </w:rPr>
      </w:pPr>
      <w:r>
        <w:rPr>
          <w:rFonts w:hint="eastAsia" w:cs="宋体"/>
        </w:rPr>
        <w:t>合肥校区当前校园网出口接入有教育网、电信、移动、联通四家运营商网络，带宽共计35.9G，目前只有教育网出口有防火墙。核心层网络设备目前都是单核心、单链路部署，且链路都只有万兆。</w:t>
      </w:r>
    </w:p>
    <w:p w14:paraId="779260F8">
      <w:pPr>
        <w:rPr>
          <w:rFonts w:ascii="宋体" w:hAnsi="宋体" w:eastAsia="宋体" w:cs="宋体"/>
        </w:rPr>
      </w:pPr>
      <w:r>
        <w:rPr>
          <w:rFonts w:hint="eastAsia" w:ascii="宋体" w:hAnsi="宋体" w:eastAsia="宋体" w:cs="宋体"/>
        </w:rPr>
        <w:t>合肥市的三个校区校园网现有建设模式为：</w:t>
      </w:r>
    </w:p>
    <w:p w14:paraId="3E7A11AA">
      <w:pPr>
        <w:pStyle w:val="19"/>
        <w:ind w:firstLine="480"/>
        <w:rPr>
          <w:rFonts w:cs="宋体"/>
        </w:rPr>
      </w:pPr>
      <w:r>
        <w:rPr>
          <w:rFonts w:hint="eastAsia" w:cs="宋体"/>
        </w:rPr>
        <w:t>三个校区通过屯溪路校区的核心和出口设备统一出口访问外网，其中翡翠湖校区设有子核心，通过光缆与屯溪路校区互联，六安路校区通过光缆与屯溪路校区互联。</w:t>
      </w:r>
    </w:p>
    <w:p w14:paraId="65A674F7">
      <w:pPr>
        <w:rPr>
          <w:rFonts w:ascii="宋体" w:hAnsi="宋体" w:eastAsia="宋体" w:cs="宋体"/>
        </w:rPr>
      </w:pPr>
      <w:r>
        <w:rPr>
          <w:rFonts w:hint="eastAsia" w:ascii="宋体" w:hAnsi="宋体" w:eastAsia="宋体" w:cs="宋体"/>
        </w:rPr>
        <w:t>宣城校区校园网现有建设模式为：</w:t>
      </w:r>
    </w:p>
    <w:p w14:paraId="0ED00AA9">
      <w:pPr>
        <w:pStyle w:val="19"/>
        <w:ind w:firstLine="480"/>
        <w:rPr>
          <w:rFonts w:cs="宋体"/>
        </w:rPr>
      </w:pPr>
      <w:r>
        <w:rPr>
          <w:rFonts w:hint="eastAsia" w:cs="宋体"/>
        </w:rPr>
        <w:t>宣城校区所在地为安徽省宣城市，校区与合肥本部的校园网内网互联通过移动、联通两条出口、利用公网带宽和VPN加密隧道，实现宣城校区与合肥校区的内网业务互联。校区校园网始建于2012年初，同年9月开始投入使用。校园网为树状网络，采用核心、汇聚、接入三层架构。</w:t>
      </w:r>
    </w:p>
    <w:p w14:paraId="0E5E7817">
      <w:pPr>
        <w:pStyle w:val="19"/>
        <w:ind w:firstLine="480"/>
        <w:rPr>
          <w:rFonts w:cs="宋体"/>
        </w:rPr>
      </w:pPr>
      <w:r>
        <w:rPr>
          <w:rFonts w:hint="eastAsia" w:cs="宋体"/>
        </w:rPr>
        <w:t>整个校园网基础设施已运行14年，网络设备老化、技术陈旧、性能不足等问题日益突出，已无法满足校区师生的用网需求，需要对校园网的基础设施进行更新升级，来更好的支撑校区发展。</w:t>
      </w:r>
    </w:p>
    <w:p w14:paraId="5046C59C">
      <w:pPr>
        <w:pStyle w:val="19"/>
        <w:ind w:firstLine="480"/>
        <w:rPr>
          <w:rFonts w:cs="宋体"/>
          <w:lang w:val="zh-CN"/>
        </w:rPr>
      </w:pPr>
      <w:r>
        <w:rPr>
          <w:rFonts w:hint="eastAsia" w:cs="宋体"/>
          <w:lang w:val="zh-CN"/>
        </w:rPr>
        <w:t>本项目为交钥匙性质的系统集成项目，要求在设备清单的基础上，提供完善的实施、优化、利旧、服务等一揽子解决方案。</w:t>
      </w:r>
      <w:r>
        <w:rPr>
          <w:rFonts w:hint="eastAsia" w:cs="宋体"/>
        </w:rPr>
        <w:t>满足需求的前提下，要求提供国产设备，并优先提供国产化关键芯片、国产化操作系统、国密算法等国产化解决方案。不接受进口整机产品或合资、OEM类整机产品。</w:t>
      </w:r>
    </w:p>
    <w:p w14:paraId="1506ED77">
      <w:pPr>
        <w:pStyle w:val="19"/>
        <w:ind w:firstLine="480"/>
        <w:rPr>
          <w:rFonts w:cs="宋体"/>
          <w:lang w:val="zh-CN"/>
        </w:rPr>
      </w:pPr>
      <w:r>
        <w:rPr>
          <w:rFonts w:hint="eastAsia" w:cs="宋体"/>
          <w:lang w:val="zh-CN"/>
        </w:rPr>
        <w:t>实施地点分别在合肥工业大学屯溪路校区、翡翠湖校区、六安路校区，以及安徽省宣城市宣州区薰化路301号合肥工业大学宣城校区校园。具体实施场所由</w:t>
      </w:r>
      <w:r>
        <w:rPr>
          <w:rFonts w:hint="eastAsia" w:cs="宋体"/>
        </w:rPr>
        <w:t>招标</w:t>
      </w:r>
      <w:r>
        <w:rPr>
          <w:rFonts w:hint="eastAsia" w:cs="宋体"/>
          <w:lang w:val="zh-CN"/>
        </w:rPr>
        <w:t>方指定。</w:t>
      </w:r>
    </w:p>
    <w:p w14:paraId="08AF833B">
      <w:pPr>
        <w:pStyle w:val="3"/>
        <w:keepNext w:val="0"/>
        <w:keepLines w:val="0"/>
        <w:spacing w:line="240" w:lineRule="auto"/>
        <w:ind w:left="900" w:hanging="900"/>
        <w:rPr>
          <w:rFonts w:ascii="宋体" w:hAnsi="宋体" w:eastAsia="宋体" w:cs="宋体"/>
          <w:kern w:val="44"/>
          <w:sz w:val="24"/>
          <w:szCs w:val="24"/>
          <w:lang w:val="zh-CN"/>
        </w:rPr>
      </w:pPr>
      <w:bookmarkStart w:id="6" w:name="_Toc69115681"/>
      <w:bookmarkStart w:id="7" w:name="_Toc18075"/>
      <w:bookmarkStart w:id="8" w:name="_Toc904"/>
      <w:r>
        <w:rPr>
          <w:rFonts w:hint="eastAsia" w:ascii="宋体" w:hAnsi="宋体" w:eastAsia="宋体" w:cs="宋体"/>
          <w:kern w:val="44"/>
          <w:sz w:val="24"/>
          <w:szCs w:val="24"/>
        </w:rPr>
        <w:t>1.2</w:t>
      </w:r>
      <w:r>
        <w:rPr>
          <w:rFonts w:hint="eastAsia" w:ascii="宋体" w:hAnsi="宋体" w:eastAsia="宋体" w:cs="宋体"/>
          <w:kern w:val="44"/>
          <w:sz w:val="24"/>
          <w:szCs w:val="24"/>
          <w:lang w:val="zh-CN"/>
        </w:rPr>
        <w:t>总体目标</w:t>
      </w:r>
      <w:bookmarkEnd w:id="6"/>
      <w:bookmarkEnd w:id="7"/>
      <w:bookmarkEnd w:id="8"/>
    </w:p>
    <w:p w14:paraId="529B535B">
      <w:pPr>
        <w:pStyle w:val="19"/>
        <w:ind w:firstLine="480"/>
        <w:rPr>
          <w:rFonts w:cs="宋体"/>
          <w:lang w:val="zh-CN"/>
        </w:rPr>
      </w:pPr>
      <w:r>
        <w:rPr>
          <w:rFonts w:hint="eastAsia" w:cs="宋体"/>
        </w:rPr>
        <w:t>1.</w:t>
      </w:r>
      <w:r>
        <w:rPr>
          <w:rFonts w:hint="eastAsia" w:cs="宋体"/>
          <w:lang w:val="zh-CN"/>
        </w:rPr>
        <w:t>在智慧校园整体框架下，实现校园网基础设备的全面更新，解决设备老化，性能下降，维护困难等问题，保障校园网的稳定运行；</w:t>
      </w:r>
    </w:p>
    <w:p w14:paraId="3CC14514">
      <w:pPr>
        <w:pStyle w:val="19"/>
        <w:ind w:firstLine="480"/>
        <w:rPr>
          <w:rFonts w:cs="宋体"/>
          <w:lang w:val="zh-CN"/>
        </w:rPr>
      </w:pPr>
      <w:r>
        <w:rPr>
          <w:rFonts w:hint="eastAsia" w:cs="宋体"/>
        </w:rPr>
        <w:t>2.</w:t>
      </w:r>
      <w:r>
        <w:rPr>
          <w:rFonts w:hint="eastAsia" w:cs="宋体"/>
          <w:lang w:val="zh-CN"/>
        </w:rPr>
        <w:t>通过网络技术升级和网络架构优化，建立一条覆盖全部校区的信息高速公路，为多样化、多业务的应用需求提供可靠保障。考虑校区未来发展，重要网络设备应可完全支撑合肥校区不少于8万人规模的教学、科研、学习及办公等的用网；</w:t>
      </w:r>
    </w:p>
    <w:p w14:paraId="5792D191">
      <w:pPr>
        <w:pStyle w:val="19"/>
        <w:ind w:firstLine="480"/>
        <w:rPr>
          <w:rFonts w:cs="宋体"/>
          <w:lang w:val="zh-CN"/>
        </w:rPr>
      </w:pPr>
      <w:r>
        <w:rPr>
          <w:rFonts w:hint="eastAsia" w:cs="宋体"/>
          <w:lang w:val="zh-CN"/>
        </w:rPr>
        <w:t xml:space="preserve">3.通过对关键设施进行更新、升级及冗余配备等手段，保障校园网骨干的安全、稳定地运行。 </w:t>
      </w:r>
    </w:p>
    <w:p w14:paraId="6C975E41">
      <w:pPr>
        <w:pStyle w:val="3"/>
        <w:keepNext w:val="0"/>
        <w:keepLines w:val="0"/>
        <w:spacing w:line="240" w:lineRule="auto"/>
        <w:ind w:left="900" w:hanging="900"/>
        <w:rPr>
          <w:rFonts w:ascii="宋体" w:hAnsi="宋体" w:eastAsia="宋体" w:cs="宋体"/>
          <w:kern w:val="44"/>
          <w:sz w:val="24"/>
          <w:szCs w:val="24"/>
          <w:lang w:val="zh-CN"/>
        </w:rPr>
      </w:pPr>
      <w:bookmarkStart w:id="9" w:name="_Toc21232"/>
      <w:bookmarkStart w:id="10" w:name="_Toc3029"/>
      <w:r>
        <w:rPr>
          <w:rFonts w:hint="eastAsia" w:ascii="宋体" w:hAnsi="宋体" w:eastAsia="宋体" w:cs="宋体"/>
          <w:kern w:val="44"/>
          <w:sz w:val="24"/>
          <w:szCs w:val="24"/>
          <w:lang w:val="zh-CN"/>
        </w:rPr>
        <w:t>1.3</w:t>
      </w:r>
      <w:r>
        <w:rPr>
          <w:rFonts w:hint="eastAsia" w:ascii="宋体" w:hAnsi="宋体" w:eastAsia="宋体" w:cs="宋体"/>
          <w:kern w:val="44"/>
          <w:sz w:val="24"/>
          <w:szCs w:val="24"/>
        </w:rPr>
        <w:t>建设原则</w:t>
      </w:r>
      <w:bookmarkEnd w:id="9"/>
      <w:bookmarkEnd w:id="10"/>
    </w:p>
    <w:p w14:paraId="53D5F5BE">
      <w:pPr>
        <w:pStyle w:val="19"/>
        <w:ind w:firstLine="480"/>
        <w:rPr>
          <w:rFonts w:cs="宋体"/>
        </w:rPr>
      </w:pPr>
      <w:r>
        <w:rPr>
          <w:rFonts w:hint="eastAsia" w:cs="宋体"/>
        </w:rPr>
        <w:t>以“先进性、可靠性、实用性、标准性、经济性、开放性、兼容性”为基本原则，具体如下：</w:t>
      </w:r>
    </w:p>
    <w:p w14:paraId="26BFAC6F">
      <w:pPr>
        <w:pStyle w:val="19"/>
        <w:ind w:firstLine="480"/>
        <w:rPr>
          <w:rFonts w:cs="宋体"/>
        </w:rPr>
      </w:pPr>
      <w:r>
        <w:rPr>
          <w:rFonts w:hint="eastAsia" w:cs="宋体"/>
        </w:rPr>
        <w:t>先进性：采用成熟、主流的设备构建校园网系统，系统建设应充分应用新网络技术的应用，保证网络的先进性；</w:t>
      </w:r>
    </w:p>
    <w:p w14:paraId="7FC7F948">
      <w:pPr>
        <w:pStyle w:val="19"/>
        <w:ind w:firstLine="480"/>
        <w:rPr>
          <w:rFonts w:cs="宋体"/>
        </w:rPr>
      </w:pPr>
      <w:r>
        <w:rPr>
          <w:rFonts w:hint="eastAsia" w:cs="宋体"/>
        </w:rPr>
        <w:t>可靠性：对关键设备采取冗余备份措施，确保整个系统长期稳定运行；</w:t>
      </w:r>
    </w:p>
    <w:p w14:paraId="3E0CB2CA">
      <w:pPr>
        <w:pStyle w:val="19"/>
        <w:ind w:firstLine="480"/>
        <w:rPr>
          <w:rFonts w:cs="宋体"/>
        </w:rPr>
      </w:pPr>
      <w:r>
        <w:rPr>
          <w:rFonts w:hint="eastAsia" w:cs="宋体"/>
        </w:rPr>
        <w:t>实用性：以应用需求为导向，为校区师生提供便捷化、感知良好的网络环境；支持IPv4/IPV6双栈以及纯IPv6的应用；</w:t>
      </w:r>
    </w:p>
    <w:p w14:paraId="2D588681">
      <w:pPr>
        <w:pStyle w:val="19"/>
        <w:ind w:firstLine="480"/>
        <w:rPr>
          <w:rFonts w:cs="宋体"/>
        </w:rPr>
      </w:pPr>
      <w:r>
        <w:rPr>
          <w:rFonts w:hint="eastAsia" w:cs="宋体"/>
        </w:rPr>
        <w:t>标准性：组网采用的主要关键技术应为国际标准或业界标准，不得使用某个厂商的专用技术和协议，以保证网络设备的互通性，有利于网络的投资保护；</w:t>
      </w:r>
    </w:p>
    <w:p w14:paraId="473E6772">
      <w:pPr>
        <w:pStyle w:val="19"/>
        <w:ind w:firstLine="480"/>
        <w:rPr>
          <w:rFonts w:cs="宋体"/>
        </w:rPr>
      </w:pPr>
      <w:r>
        <w:rPr>
          <w:rFonts w:hint="eastAsia" w:cs="宋体"/>
        </w:rPr>
        <w:t>经济性：能够充分利用现有资源，降低建设成本和使用成本；</w:t>
      </w:r>
    </w:p>
    <w:p w14:paraId="3874BBD9">
      <w:pPr>
        <w:pStyle w:val="19"/>
        <w:ind w:firstLine="480"/>
        <w:rPr>
          <w:rFonts w:cs="宋体"/>
        </w:rPr>
      </w:pPr>
      <w:r>
        <w:rPr>
          <w:rFonts w:hint="eastAsia" w:cs="宋体"/>
        </w:rPr>
        <w:t>开放性：充分预留未来网络升级和扩容的空间，采用标准协议和开放接口等，保证网络演进的平滑性；</w:t>
      </w:r>
    </w:p>
    <w:p w14:paraId="400E8C04">
      <w:pPr>
        <w:pStyle w:val="19"/>
        <w:ind w:firstLine="480"/>
        <w:rPr>
          <w:rFonts w:cs="宋体"/>
        </w:rPr>
      </w:pPr>
      <w:r>
        <w:rPr>
          <w:rFonts w:hint="eastAsia" w:cs="宋体"/>
        </w:rPr>
        <w:t>兼容性：能够与校区其他信息化设施良好兼容，保证使用效果。</w:t>
      </w:r>
    </w:p>
    <w:p w14:paraId="0D2A473B">
      <w:pPr>
        <w:pStyle w:val="3"/>
        <w:keepNext w:val="0"/>
        <w:keepLines w:val="0"/>
        <w:spacing w:line="240" w:lineRule="auto"/>
        <w:ind w:left="900" w:hanging="900"/>
        <w:rPr>
          <w:rFonts w:ascii="宋体" w:hAnsi="宋体" w:eastAsia="宋体" w:cs="宋体"/>
          <w:kern w:val="44"/>
          <w:sz w:val="24"/>
          <w:szCs w:val="24"/>
        </w:rPr>
      </w:pPr>
      <w:bookmarkStart w:id="11" w:name="_Toc11207"/>
      <w:bookmarkStart w:id="12" w:name="_Toc18751"/>
      <w:r>
        <w:rPr>
          <w:rFonts w:hint="eastAsia" w:ascii="宋体" w:hAnsi="宋体" w:eastAsia="宋体" w:cs="宋体"/>
          <w:kern w:val="44"/>
          <w:sz w:val="24"/>
          <w:szCs w:val="24"/>
        </w:rPr>
        <w:t>1.4目标绩效</w:t>
      </w:r>
      <w:bookmarkEnd w:id="11"/>
      <w:bookmarkEnd w:id="12"/>
    </w:p>
    <w:p w14:paraId="2679CB14">
      <w:pPr>
        <w:pStyle w:val="19"/>
        <w:ind w:firstLine="480"/>
        <w:rPr>
          <w:rFonts w:cs="宋体"/>
        </w:rPr>
      </w:pPr>
      <w:r>
        <w:rPr>
          <w:rFonts w:hint="eastAsia" w:cs="宋体"/>
        </w:rPr>
        <w:t>通过本项目，实现校园网核心、出口设备、配套安全设备、认证设备以及附属设备的平滑升级。</w:t>
      </w:r>
    </w:p>
    <w:p w14:paraId="304376CB">
      <w:pPr>
        <w:pStyle w:val="19"/>
        <w:ind w:firstLine="480"/>
        <w:rPr>
          <w:rFonts w:cs="宋体"/>
        </w:rPr>
      </w:pPr>
      <w:r>
        <w:rPr>
          <w:rFonts w:hint="eastAsia" w:cs="宋体"/>
        </w:rPr>
        <w:t>打造一套“关键设备双冗余、架构合理、安全稳定”的校园网骨干网络，满足当前及未来5-10年的发展需要。</w:t>
      </w:r>
    </w:p>
    <w:p w14:paraId="665DC884">
      <w:pPr>
        <w:pStyle w:val="19"/>
        <w:ind w:firstLine="480"/>
        <w:rPr>
          <w:rFonts w:cs="宋体"/>
        </w:rPr>
      </w:pPr>
      <w:r>
        <w:rPr>
          <w:rFonts w:hint="eastAsia" w:cs="宋体"/>
        </w:rPr>
        <w:t>重新规划部署校园网出口，同时满足教育网、中国电信、中国移动、中国联通共至少4个外网出口的并行接入以及异地校区之间的互联并为未来预留一定接口，优化路由。</w:t>
      </w:r>
    </w:p>
    <w:p w14:paraId="545A0B2D">
      <w:pPr>
        <w:pStyle w:val="19"/>
        <w:ind w:firstLine="480"/>
        <w:rPr>
          <w:rFonts w:cs="宋体"/>
        </w:rPr>
      </w:pPr>
      <w:r>
        <w:rPr>
          <w:rFonts w:hint="eastAsia" w:cs="宋体"/>
        </w:rPr>
        <w:t>全面支持IPv6特性，满足IPv4/IPv6双栈应用环境，要求可在纯IPv6环境中全功能良好工作。</w:t>
      </w:r>
    </w:p>
    <w:p w14:paraId="0A98232E">
      <w:pPr>
        <w:pStyle w:val="19"/>
        <w:ind w:firstLine="480"/>
        <w:rPr>
          <w:rFonts w:cs="宋体"/>
        </w:rPr>
      </w:pPr>
      <w:r>
        <w:rPr>
          <w:rFonts w:hint="eastAsia" w:cs="宋体"/>
        </w:rPr>
        <w:t>具有一定的先进性，满足师生复杂的网络访问需求。</w:t>
      </w:r>
    </w:p>
    <w:p w14:paraId="7916F442">
      <w:pPr>
        <w:pStyle w:val="19"/>
        <w:ind w:firstLine="480"/>
        <w:rPr>
          <w:rFonts w:cs="宋体"/>
        </w:rPr>
      </w:pPr>
      <w:r>
        <w:rPr>
          <w:rFonts w:hint="eastAsia" w:cs="宋体"/>
        </w:rPr>
        <w:t>合理部署校园网出口安全设备、认证设备，确保所有外网出口都得到妥善的安全防护，同时支持IPv4与IPv6两种互联网协议的安全防护。</w:t>
      </w:r>
    </w:p>
    <w:p w14:paraId="7DA63AD4">
      <w:pPr>
        <w:pStyle w:val="19"/>
        <w:ind w:firstLine="480"/>
        <w:rPr>
          <w:rFonts w:cs="宋体"/>
        </w:rPr>
      </w:pPr>
      <w:r>
        <w:rPr>
          <w:rFonts w:hint="eastAsia" w:cs="宋体"/>
        </w:rPr>
        <w:t>对现网部分设备合理利旧，最大限度地保护现有投资，实现资金利用率的最大化。</w:t>
      </w:r>
    </w:p>
    <w:p w14:paraId="01DE1C95">
      <w:pPr>
        <w:pStyle w:val="19"/>
        <w:ind w:firstLine="480"/>
        <w:rPr>
          <w:rFonts w:cs="宋体"/>
        </w:rPr>
      </w:pPr>
      <w:r>
        <w:rPr>
          <w:rFonts w:hint="eastAsia" w:cs="宋体"/>
        </w:rPr>
        <w:t>设备开放兼容，支持接入现有的统一网管平台，实现统一的网络可视化管理。</w:t>
      </w:r>
    </w:p>
    <w:p w14:paraId="6CA91270">
      <w:pPr>
        <w:pStyle w:val="19"/>
        <w:ind w:firstLine="480"/>
        <w:rPr>
          <w:rFonts w:cs="宋体"/>
        </w:rPr>
      </w:pPr>
      <w:r>
        <w:rPr>
          <w:rFonts w:hint="eastAsia" w:cs="宋体"/>
        </w:rPr>
        <w:t>根据核心及出口升级改造的需要，合理改善和优化整体架构、地址规划、相关链路、节点等周边配套设施。</w:t>
      </w:r>
    </w:p>
    <w:p w14:paraId="3114FA52">
      <w:pPr>
        <w:pStyle w:val="3"/>
        <w:keepNext w:val="0"/>
        <w:keepLines w:val="0"/>
        <w:spacing w:line="240" w:lineRule="auto"/>
        <w:ind w:left="900" w:hanging="900"/>
        <w:rPr>
          <w:rFonts w:ascii="宋体" w:hAnsi="宋体" w:eastAsia="宋体" w:cs="宋体"/>
          <w:kern w:val="44"/>
          <w:sz w:val="24"/>
          <w:szCs w:val="24"/>
        </w:rPr>
      </w:pPr>
      <w:bookmarkStart w:id="13" w:name="_Toc24919"/>
      <w:bookmarkStart w:id="14" w:name="_Toc15764"/>
      <w:r>
        <w:rPr>
          <w:rFonts w:hint="eastAsia" w:ascii="宋体" w:hAnsi="宋体" w:eastAsia="宋体" w:cs="宋体"/>
          <w:kern w:val="44"/>
          <w:sz w:val="24"/>
          <w:szCs w:val="24"/>
        </w:rPr>
        <w:t>1.5设计规范</w:t>
      </w:r>
      <w:bookmarkEnd w:id="13"/>
      <w:bookmarkEnd w:id="14"/>
    </w:p>
    <w:p w14:paraId="0C3575C9">
      <w:pPr>
        <w:pStyle w:val="19"/>
        <w:ind w:firstLine="480"/>
        <w:rPr>
          <w:rFonts w:cs="宋体"/>
        </w:rPr>
      </w:pPr>
      <w:r>
        <w:rPr>
          <w:rFonts w:hint="eastAsia" w:cs="宋体"/>
        </w:rPr>
        <w:t>本项目的设计、建设、验收依照以下标准依据或规范（包含但不仅限于）。但满足以下标准规范仅为最低限度要求，承建方必须以达到或优于以下标准为目标来提供设备选型或解决方案。</w:t>
      </w:r>
    </w:p>
    <w:p w14:paraId="2B971D98">
      <w:pPr>
        <w:pStyle w:val="19"/>
        <w:ind w:firstLine="480"/>
        <w:rPr>
          <w:rFonts w:cs="宋体"/>
        </w:rPr>
      </w:pPr>
      <w:r>
        <w:rPr>
          <w:rFonts w:hint="eastAsia" w:cs="宋体"/>
        </w:rPr>
        <w:t>版本以招标公告发布日期前一日为止的最近时间颁布的版本为准。</w:t>
      </w:r>
    </w:p>
    <w:p w14:paraId="73298F67">
      <w:pPr>
        <w:pStyle w:val="19"/>
        <w:ind w:firstLine="480"/>
        <w:rPr>
          <w:rFonts w:cs="宋体"/>
        </w:rPr>
      </w:pPr>
      <w:r>
        <w:rPr>
          <w:rFonts w:hint="eastAsia" w:cs="宋体"/>
        </w:rPr>
        <w:t>《中国电气装置安装工程施工及验收规范》</w:t>
      </w:r>
    </w:p>
    <w:p w14:paraId="37D622DC">
      <w:pPr>
        <w:pStyle w:val="19"/>
        <w:ind w:firstLine="480"/>
        <w:rPr>
          <w:rFonts w:cs="宋体"/>
        </w:rPr>
      </w:pPr>
      <w:r>
        <w:rPr>
          <w:rFonts w:hint="eastAsia" w:cs="宋体"/>
        </w:rPr>
        <w:t>《互联网网络安全设施工程技术标准》</w:t>
      </w:r>
    </w:p>
    <w:p w14:paraId="55EE020E">
      <w:pPr>
        <w:pStyle w:val="19"/>
        <w:ind w:firstLine="480"/>
        <w:rPr>
          <w:rFonts w:cs="宋体"/>
        </w:rPr>
      </w:pPr>
      <w:r>
        <w:rPr>
          <w:rFonts w:hint="eastAsia" w:cs="宋体"/>
        </w:rPr>
        <w:t>《信息安全技术 信息系统通用安全技术要求》</w:t>
      </w:r>
    </w:p>
    <w:p w14:paraId="552AF222">
      <w:pPr>
        <w:pStyle w:val="19"/>
        <w:ind w:firstLine="480"/>
        <w:rPr>
          <w:rFonts w:cs="宋体"/>
        </w:rPr>
      </w:pPr>
      <w:r>
        <w:rPr>
          <w:rFonts w:hint="eastAsia" w:cs="宋体"/>
        </w:rPr>
        <w:t>《信息安全技术 操作系统安全技术要求》</w:t>
      </w:r>
    </w:p>
    <w:p w14:paraId="4A6AE6AA">
      <w:pPr>
        <w:pStyle w:val="19"/>
        <w:ind w:firstLine="480"/>
        <w:rPr>
          <w:rFonts w:cs="宋体"/>
        </w:rPr>
      </w:pPr>
      <w:r>
        <w:rPr>
          <w:rFonts w:hint="eastAsia" w:cs="宋体"/>
        </w:rPr>
        <w:t>《信息安全技术 数据库管理系统通用安全技术要求》</w:t>
      </w:r>
    </w:p>
    <w:p w14:paraId="2DC9FFC7">
      <w:pPr>
        <w:pStyle w:val="19"/>
        <w:ind w:firstLine="480"/>
        <w:rPr>
          <w:rFonts w:cs="宋体"/>
        </w:rPr>
      </w:pPr>
      <w:r>
        <w:rPr>
          <w:rFonts w:hint="eastAsia" w:cs="宋体"/>
        </w:rPr>
        <w:t>《信息安全技术 服务器安全技术要求和测评准则》</w:t>
      </w:r>
    </w:p>
    <w:p w14:paraId="2B3B0FC8">
      <w:pPr>
        <w:pStyle w:val="19"/>
        <w:ind w:firstLine="480"/>
        <w:rPr>
          <w:rFonts w:cs="宋体"/>
        </w:rPr>
      </w:pPr>
      <w:r>
        <w:rPr>
          <w:rFonts w:hint="eastAsia" w:cs="宋体"/>
        </w:rPr>
        <w:t>《信息安全技术 网络基础安全技术要求》</w:t>
      </w:r>
    </w:p>
    <w:p w14:paraId="0EE15834">
      <w:pPr>
        <w:pStyle w:val="19"/>
        <w:ind w:firstLine="480"/>
        <w:rPr>
          <w:rFonts w:cs="宋体"/>
        </w:rPr>
      </w:pPr>
      <w:r>
        <w:rPr>
          <w:rFonts w:hint="eastAsia" w:cs="宋体"/>
        </w:rPr>
        <w:t>《信息安全技术 网络安全等级保护基本要求》</w:t>
      </w:r>
    </w:p>
    <w:p w14:paraId="2A2D8443">
      <w:pPr>
        <w:pStyle w:val="19"/>
        <w:ind w:firstLine="480"/>
        <w:rPr>
          <w:rFonts w:cs="宋体"/>
        </w:rPr>
      </w:pPr>
      <w:r>
        <w:rPr>
          <w:rFonts w:hint="eastAsia" w:cs="宋体"/>
        </w:rPr>
        <w:t>《信息安全技术 网络安全等级保护定级指南》</w:t>
      </w:r>
    </w:p>
    <w:p w14:paraId="706A4A19">
      <w:pPr>
        <w:pStyle w:val="19"/>
        <w:ind w:firstLine="480"/>
        <w:rPr>
          <w:rFonts w:cs="宋体"/>
        </w:rPr>
      </w:pPr>
      <w:r>
        <w:rPr>
          <w:rFonts w:hint="eastAsia" w:cs="宋体"/>
        </w:rPr>
        <w:t>《信息安全技术 网络安全等级保护测评过程指南》</w:t>
      </w:r>
    </w:p>
    <w:p w14:paraId="2E830C53">
      <w:pPr>
        <w:pStyle w:val="19"/>
        <w:ind w:firstLine="480"/>
        <w:rPr>
          <w:rFonts w:cs="宋体"/>
        </w:rPr>
      </w:pPr>
      <w:r>
        <w:rPr>
          <w:rFonts w:hint="eastAsia" w:cs="宋体"/>
        </w:rPr>
        <w:t>《信息安全技术 网络脆弱性扫描产品安全技术要求和测试评价方法》</w:t>
      </w:r>
    </w:p>
    <w:p w14:paraId="5B52517B">
      <w:pPr>
        <w:pStyle w:val="19"/>
        <w:ind w:firstLine="480"/>
        <w:rPr>
          <w:rFonts w:cs="宋体"/>
        </w:rPr>
      </w:pPr>
      <w:r>
        <w:rPr>
          <w:rFonts w:hint="eastAsia" w:cs="宋体"/>
        </w:rPr>
        <w:t>《信息安全技术-网络安全等级保护基本要求》</w:t>
      </w:r>
    </w:p>
    <w:p w14:paraId="6D614C62">
      <w:pPr>
        <w:pStyle w:val="19"/>
        <w:ind w:firstLine="480"/>
        <w:rPr>
          <w:rFonts w:cs="宋体"/>
        </w:rPr>
      </w:pPr>
      <w:r>
        <w:rPr>
          <w:rFonts w:hint="eastAsia" w:cs="宋体"/>
        </w:rPr>
        <w:t>《信息安全技术-网络安全等级保护安全设计技术要求》</w:t>
      </w:r>
    </w:p>
    <w:p w14:paraId="32C3294D">
      <w:pPr>
        <w:pStyle w:val="19"/>
        <w:ind w:firstLine="480"/>
        <w:rPr>
          <w:rFonts w:cs="宋体"/>
        </w:rPr>
      </w:pPr>
      <w:r>
        <w:rPr>
          <w:rFonts w:hint="eastAsia" w:cs="宋体"/>
        </w:rPr>
        <w:t>《信息安全技术-网络安全等级保护实施指南》</w:t>
      </w:r>
    </w:p>
    <w:p w14:paraId="2A3F297D">
      <w:pPr>
        <w:pStyle w:val="19"/>
        <w:ind w:firstLine="480"/>
        <w:rPr>
          <w:rFonts w:cs="宋体"/>
        </w:rPr>
      </w:pPr>
      <w:r>
        <w:rPr>
          <w:rFonts w:hint="eastAsia" w:cs="宋体"/>
        </w:rPr>
        <w:t>《信息技术 局域网 第1部分:媒体访问控制方法及物理层规范》</w:t>
      </w:r>
    </w:p>
    <w:p w14:paraId="16EB8C2C">
      <w:pPr>
        <w:pStyle w:val="19"/>
        <w:ind w:firstLine="480"/>
        <w:rPr>
          <w:rFonts w:cs="宋体"/>
        </w:rPr>
      </w:pPr>
      <w:r>
        <w:rPr>
          <w:rFonts w:hint="eastAsia" w:cs="宋体"/>
        </w:rPr>
        <w:t>《基于SDN技术的IP广域网工程设计规范》</w:t>
      </w:r>
    </w:p>
    <w:p w14:paraId="030242D0">
      <w:pPr>
        <w:pStyle w:val="19"/>
        <w:ind w:firstLine="480"/>
        <w:rPr>
          <w:rFonts w:cs="宋体"/>
        </w:rPr>
      </w:pPr>
      <w:r>
        <w:rPr>
          <w:rFonts w:hint="eastAsia" w:cs="宋体"/>
        </w:rPr>
        <w:t>《安全防范工程技术规范》</w:t>
      </w:r>
    </w:p>
    <w:p w14:paraId="3A0433F0">
      <w:pPr>
        <w:pStyle w:val="19"/>
        <w:ind w:firstLine="480"/>
        <w:rPr>
          <w:rFonts w:cs="宋体"/>
        </w:rPr>
      </w:pPr>
      <w:r>
        <w:rPr>
          <w:rFonts w:hint="eastAsia" w:cs="宋体"/>
        </w:rPr>
        <w:t>《工业企业通信接地设计规范》</w:t>
      </w:r>
    </w:p>
    <w:p w14:paraId="5ADE85CC">
      <w:pPr>
        <w:pStyle w:val="19"/>
        <w:ind w:firstLine="480"/>
        <w:rPr>
          <w:rFonts w:cs="宋体"/>
        </w:rPr>
      </w:pPr>
      <w:r>
        <w:rPr>
          <w:rFonts w:hint="eastAsia" w:cs="宋体"/>
        </w:rPr>
        <w:t>《工业企业通讯设计规范》</w:t>
      </w:r>
    </w:p>
    <w:p w14:paraId="52021916">
      <w:pPr>
        <w:pStyle w:val="19"/>
        <w:ind w:firstLine="480"/>
        <w:rPr>
          <w:rFonts w:cs="宋体"/>
        </w:rPr>
      </w:pPr>
      <w:r>
        <w:rPr>
          <w:rFonts w:hint="eastAsia" w:cs="宋体"/>
        </w:rPr>
        <w:t>《建筑与建筑群综合布线系统工程设计规范》</w:t>
      </w:r>
    </w:p>
    <w:p w14:paraId="147D53A6">
      <w:pPr>
        <w:pStyle w:val="19"/>
        <w:ind w:firstLine="480"/>
        <w:rPr>
          <w:rFonts w:cs="宋体"/>
        </w:rPr>
      </w:pPr>
      <w:r>
        <w:rPr>
          <w:rFonts w:hint="eastAsia" w:cs="宋体"/>
        </w:rPr>
        <w:t>《建筑与建筑群综合布线系统工程验收规范》</w:t>
      </w:r>
    </w:p>
    <w:p w14:paraId="70B74AF1">
      <w:pPr>
        <w:pStyle w:val="19"/>
        <w:ind w:firstLine="480"/>
        <w:rPr>
          <w:rFonts w:cs="宋体"/>
        </w:rPr>
      </w:pPr>
      <w:r>
        <w:rPr>
          <w:rFonts w:hint="eastAsia" w:cs="宋体"/>
        </w:rPr>
        <w:t>《教育信息化2.0行动计划》</w:t>
      </w:r>
    </w:p>
    <w:p w14:paraId="69963596">
      <w:pPr>
        <w:pStyle w:val="19"/>
        <w:ind w:firstLine="480"/>
        <w:rPr>
          <w:rFonts w:cs="宋体"/>
        </w:rPr>
      </w:pPr>
      <w:r>
        <w:rPr>
          <w:rFonts w:hint="eastAsia" w:cs="宋体"/>
        </w:rPr>
        <w:t>《普通高等学校安全技术防范系统要求》</w:t>
      </w:r>
    </w:p>
    <w:p w14:paraId="3011C07D">
      <w:pPr>
        <w:pStyle w:val="19"/>
        <w:ind w:firstLine="480"/>
        <w:rPr>
          <w:rFonts w:cs="宋体"/>
        </w:rPr>
      </w:pPr>
      <w:r>
        <w:rPr>
          <w:rFonts w:hint="eastAsia" w:cs="宋体"/>
        </w:rPr>
        <w:t>《智能建筑设计规范》</w:t>
      </w:r>
    </w:p>
    <w:p w14:paraId="2EA82946">
      <w:pPr>
        <w:pStyle w:val="19"/>
        <w:ind w:firstLine="480"/>
        <w:rPr>
          <w:rFonts w:cs="宋体"/>
        </w:rPr>
      </w:pPr>
      <w:r>
        <w:rPr>
          <w:rFonts w:hint="eastAsia" w:cs="宋体"/>
        </w:rPr>
        <w:t>《电磁兼容试验和测量技术》</w:t>
      </w:r>
    </w:p>
    <w:p w14:paraId="4F121628">
      <w:pPr>
        <w:pStyle w:val="19"/>
        <w:ind w:firstLine="480"/>
        <w:rPr>
          <w:rFonts w:cs="宋体"/>
        </w:rPr>
      </w:pPr>
      <w:r>
        <w:rPr>
          <w:rFonts w:hint="eastAsia" w:cs="宋体"/>
        </w:rPr>
        <w:t>《综合布线系统工程设计规范》</w:t>
      </w:r>
    </w:p>
    <w:p w14:paraId="573A2A97">
      <w:pPr>
        <w:pStyle w:val="19"/>
        <w:ind w:firstLine="480"/>
        <w:rPr>
          <w:rFonts w:cs="宋体"/>
        </w:rPr>
      </w:pPr>
      <w:r>
        <w:rPr>
          <w:rFonts w:hint="eastAsia" w:cs="宋体"/>
        </w:rPr>
        <w:t>《综合布线系统工程验收规范》</w:t>
      </w:r>
    </w:p>
    <w:p w14:paraId="3A8BFE43">
      <w:pPr>
        <w:pStyle w:val="19"/>
        <w:ind w:firstLine="480"/>
        <w:rPr>
          <w:rFonts w:cs="宋体"/>
        </w:rPr>
      </w:pPr>
      <w:r>
        <w:rPr>
          <w:rFonts w:hint="eastAsia" w:cs="宋体"/>
        </w:rPr>
        <w:t>《网络关键设备安全技术要求 交换机设备》</w:t>
      </w:r>
    </w:p>
    <w:p w14:paraId="636A8E21">
      <w:pPr>
        <w:pStyle w:val="19"/>
        <w:ind w:firstLine="480"/>
        <w:rPr>
          <w:rFonts w:cs="宋体"/>
        </w:rPr>
      </w:pPr>
      <w:r>
        <w:rPr>
          <w:rFonts w:hint="eastAsia" w:cs="宋体"/>
        </w:rPr>
        <w:t>《网络关键设备安全通用要求》</w:t>
      </w:r>
    </w:p>
    <w:p w14:paraId="71CCCB28">
      <w:pPr>
        <w:pStyle w:val="19"/>
        <w:ind w:firstLine="480"/>
        <w:rPr>
          <w:rFonts w:cs="宋体"/>
        </w:rPr>
      </w:pPr>
      <w:r>
        <w:rPr>
          <w:rFonts w:hint="eastAsia" w:cs="宋体"/>
        </w:rPr>
        <w:t>《网络安全技术 信息技术安全评估方法》</w:t>
      </w:r>
    </w:p>
    <w:p w14:paraId="1D763BDC">
      <w:pPr>
        <w:pStyle w:val="19"/>
        <w:ind w:firstLine="480"/>
        <w:rPr>
          <w:rFonts w:cs="宋体"/>
        </w:rPr>
      </w:pPr>
      <w:r>
        <w:rPr>
          <w:rFonts w:hint="eastAsia" w:cs="宋体"/>
        </w:rPr>
        <w:t xml:space="preserve">《网络安全技术 存储介质数据恢复服务安全规范》 </w:t>
      </w:r>
    </w:p>
    <w:p w14:paraId="1A401FB9">
      <w:pPr>
        <w:pStyle w:val="19"/>
        <w:ind w:firstLine="480"/>
        <w:rPr>
          <w:rFonts w:cs="宋体"/>
        </w:rPr>
      </w:pPr>
      <w:r>
        <w:rPr>
          <w:rFonts w:hint="eastAsia" w:cs="宋体"/>
        </w:rPr>
        <w:t xml:space="preserve">《网络安全技术 无线局域网客户端安全技术要求》 </w:t>
      </w:r>
    </w:p>
    <w:p w14:paraId="290A6CC3">
      <w:pPr>
        <w:pStyle w:val="19"/>
        <w:ind w:firstLine="480"/>
        <w:rPr>
          <w:rFonts w:cs="宋体"/>
        </w:rPr>
      </w:pPr>
      <w:r>
        <w:rPr>
          <w:rFonts w:hint="eastAsia" w:cs="宋体"/>
        </w:rPr>
        <w:t xml:space="preserve">《网络安全技术 无线局域网接入系统安全技术要求》 </w:t>
      </w:r>
    </w:p>
    <w:p w14:paraId="444F4D4E">
      <w:pPr>
        <w:pStyle w:val="19"/>
        <w:ind w:firstLine="480"/>
        <w:rPr>
          <w:rFonts w:cs="宋体"/>
        </w:rPr>
      </w:pPr>
      <w:r>
        <w:rPr>
          <w:rFonts w:hint="eastAsia" w:cs="宋体"/>
        </w:rPr>
        <w:t>《网络安全技术 终端计算机通用安全技术规范》</w:t>
      </w:r>
    </w:p>
    <w:p w14:paraId="0A975008">
      <w:pPr>
        <w:pStyle w:val="19"/>
        <w:ind w:firstLine="480"/>
        <w:rPr>
          <w:rFonts w:cs="宋体"/>
        </w:rPr>
      </w:pPr>
      <w:r>
        <w:rPr>
          <w:rFonts w:hint="eastAsia" w:cs="宋体"/>
        </w:rPr>
        <w:t xml:space="preserve">《网络安全技术 网络安全产品互联互通》 </w:t>
      </w:r>
    </w:p>
    <w:p w14:paraId="7485BA43">
      <w:pPr>
        <w:pStyle w:val="19"/>
        <w:ind w:firstLine="480"/>
        <w:rPr>
          <w:rFonts w:cs="宋体"/>
        </w:rPr>
      </w:pPr>
      <w:r>
        <w:rPr>
          <w:rFonts w:hint="eastAsia" w:cs="宋体"/>
        </w:rPr>
        <w:t xml:space="preserve">《网络安全技术 网络弹性评价准则》 </w:t>
      </w:r>
    </w:p>
    <w:p w14:paraId="26EED6B5">
      <w:pPr>
        <w:pStyle w:val="19"/>
        <w:ind w:firstLine="480"/>
        <w:rPr>
          <w:rFonts w:cs="宋体"/>
        </w:rPr>
      </w:pPr>
      <w:r>
        <w:rPr>
          <w:rFonts w:hint="eastAsia" w:cs="宋体"/>
        </w:rPr>
        <w:t>《网络安全技术 证书应用综合服务接口规范》</w:t>
      </w:r>
    </w:p>
    <w:p w14:paraId="67E4A719">
      <w:pPr>
        <w:pStyle w:val="19"/>
        <w:ind w:firstLine="480"/>
        <w:rPr>
          <w:rFonts w:cs="宋体"/>
        </w:rPr>
      </w:pPr>
      <w:r>
        <w:rPr>
          <w:rFonts w:hint="eastAsia" w:cs="宋体"/>
        </w:rPr>
        <w:t>《网络安全技术 零信任参考体系架构》</w:t>
      </w:r>
    </w:p>
    <w:p w14:paraId="4DBCEDC7">
      <w:pPr>
        <w:pStyle w:val="19"/>
        <w:ind w:firstLine="480"/>
        <w:rPr>
          <w:rFonts w:cs="宋体"/>
        </w:rPr>
      </w:pPr>
      <w:r>
        <w:rPr>
          <w:rFonts w:hint="eastAsia" w:cs="宋体"/>
        </w:rPr>
        <w:t>《网络工程设计标准》</w:t>
      </w:r>
    </w:p>
    <w:p w14:paraId="330BA08E">
      <w:pPr>
        <w:pStyle w:val="19"/>
        <w:ind w:firstLine="480"/>
        <w:rPr>
          <w:rFonts w:cs="宋体"/>
        </w:rPr>
      </w:pPr>
      <w:r>
        <w:rPr>
          <w:rFonts w:hint="eastAsia" w:cs="宋体"/>
        </w:rPr>
        <w:t>《网络工程验收标准》</w:t>
      </w:r>
    </w:p>
    <w:p w14:paraId="476B0BDA">
      <w:pPr>
        <w:pStyle w:val="19"/>
        <w:ind w:firstLine="480"/>
      </w:pPr>
      <w:r>
        <w:rPr>
          <w:rFonts w:hint="eastAsia" w:cs="宋体"/>
        </w:rPr>
        <w:t>《通信管道与通道工程设计标准》</w:t>
      </w:r>
    </w:p>
    <w:p w14:paraId="3F2B2E9E">
      <w:pPr>
        <w:pStyle w:val="2"/>
        <w:keepNext w:val="0"/>
        <w:keepLines w:val="0"/>
        <w:spacing w:line="240" w:lineRule="auto"/>
        <w:rPr>
          <w:rFonts w:ascii="宋体" w:hAnsi="宋体" w:eastAsia="宋体" w:cs="宋体"/>
          <w:sz w:val="24"/>
          <w:szCs w:val="24"/>
        </w:rPr>
      </w:pPr>
      <w:bookmarkStart w:id="15" w:name="_Toc307"/>
      <w:bookmarkStart w:id="16" w:name="_Toc7858"/>
      <w:r>
        <w:rPr>
          <w:rFonts w:hint="eastAsia" w:ascii="宋体" w:hAnsi="宋体" w:eastAsia="宋体" w:cs="宋体"/>
          <w:sz w:val="24"/>
          <w:szCs w:val="24"/>
        </w:rPr>
        <w:t>二、技术规范——校园网概况及方案设计</w:t>
      </w:r>
      <w:bookmarkEnd w:id="15"/>
      <w:bookmarkEnd w:id="16"/>
    </w:p>
    <w:p w14:paraId="56A7A8B6">
      <w:pPr>
        <w:pStyle w:val="3"/>
        <w:keepNext w:val="0"/>
        <w:keepLines w:val="0"/>
        <w:spacing w:line="240" w:lineRule="auto"/>
        <w:ind w:left="900" w:hanging="900"/>
        <w:rPr>
          <w:rFonts w:ascii="宋体" w:hAnsi="宋体" w:eastAsia="宋体" w:cs="宋体"/>
          <w:kern w:val="44"/>
          <w:sz w:val="24"/>
          <w:szCs w:val="24"/>
        </w:rPr>
      </w:pPr>
      <w:bookmarkStart w:id="17" w:name="_Toc13693"/>
      <w:bookmarkStart w:id="18" w:name="_Toc7592"/>
      <w:r>
        <w:rPr>
          <w:rFonts w:hint="eastAsia" w:ascii="宋体" w:hAnsi="宋体" w:eastAsia="宋体" w:cs="宋体"/>
          <w:kern w:val="44"/>
          <w:sz w:val="24"/>
          <w:szCs w:val="24"/>
        </w:rPr>
        <w:t>2.1现网拓扑及主要设备情况</w:t>
      </w:r>
      <w:bookmarkEnd w:id="17"/>
      <w:bookmarkEnd w:id="18"/>
    </w:p>
    <w:p w14:paraId="131FDA75">
      <w:pPr>
        <w:pStyle w:val="7"/>
        <w:rPr>
          <w:rFonts w:ascii="新宋体" w:hAnsi="新宋体" w:eastAsia="新宋体" w:cs="仿宋"/>
        </w:rPr>
      </w:pPr>
      <w:r>
        <w:rPr>
          <w:rFonts w:hint="eastAsia" w:ascii="新宋体" w:hAnsi="新宋体" w:eastAsia="新宋体" w:cs="仿宋"/>
        </w:rPr>
        <w:drawing>
          <wp:inline distT="0" distB="0" distL="0" distR="0">
            <wp:extent cx="5268595" cy="3060065"/>
            <wp:effectExtent l="0" t="0" r="8255" b="6985"/>
            <wp:docPr id="1988396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96678"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8595" cy="3060065"/>
                    </a:xfrm>
                    <a:prstGeom prst="rect">
                      <a:avLst/>
                    </a:prstGeom>
                    <a:noFill/>
                    <a:ln>
                      <a:noFill/>
                    </a:ln>
                  </pic:spPr>
                </pic:pic>
              </a:graphicData>
            </a:graphic>
          </wp:inline>
        </w:drawing>
      </w:r>
    </w:p>
    <w:p w14:paraId="7320C47C">
      <w:pPr>
        <w:pStyle w:val="6"/>
        <w:jc w:val="center"/>
        <w:rPr>
          <w:rFonts w:ascii="仿宋" w:hAnsi="仿宋" w:eastAsia="仿宋"/>
        </w:rPr>
      </w:pPr>
      <w:r>
        <w:rPr>
          <w:rFonts w:hint="eastAsia" w:ascii="仿宋" w:hAnsi="仿宋" w:eastAsia="仿宋"/>
        </w:rPr>
        <w:t>图  2-1 合肥工业大学合肥校区核心网当前拓扑</w:t>
      </w:r>
    </w:p>
    <w:p w14:paraId="10BC0F37">
      <w:pPr>
        <w:pStyle w:val="7"/>
        <w:rPr>
          <w:lang w:val="zh-CN"/>
        </w:rPr>
      </w:pPr>
    </w:p>
    <w:p w14:paraId="0D476973">
      <w:pPr>
        <w:pStyle w:val="6"/>
        <w:jc w:val="center"/>
        <w:rPr>
          <w:rFonts w:ascii="仿宋" w:hAnsi="仿宋" w:eastAsia="仿宋" w:cs="仿宋"/>
        </w:rPr>
      </w:pPr>
      <w:r>
        <w:rPr>
          <w:rFonts w:hint="eastAsia" w:ascii="仿宋" w:hAnsi="仿宋" w:eastAsia="仿宋"/>
        </w:rPr>
        <w:t>表  2-1 三校区现网主要设备清单</w:t>
      </w:r>
    </w:p>
    <w:tbl>
      <w:tblPr>
        <w:tblStyle w:val="12"/>
        <w:tblW w:w="975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88"/>
        <w:gridCol w:w="1403"/>
        <w:gridCol w:w="1163"/>
        <w:gridCol w:w="498"/>
        <w:gridCol w:w="2976"/>
        <w:gridCol w:w="1134"/>
        <w:gridCol w:w="692"/>
      </w:tblGrid>
      <w:tr w14:paraId="78088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4" w:hRule="atLeast"/>
          <w:tblHeader/>
          <w:jc w:val="center"/>
        </w:trPr>
        <w:tc>
          <w:tcPr>
            <w:tcW w:w="1888" w:type="dxa"/>
            <w:shd w:val="clear" w:color="auto" w:fill="F2F2F2"/>
            <w:vAlign w:val="center"/>
          </w:tcPr>
          <w:p w14:paraId="70ACF325">
            <w:pPr>
              <w:pStyle w:val="20"/>
              <w:jc w:val="center"/>
              <w:rPr>
                <w:rFonts w:ascii="宋体" w:hAnsi="宋体" w:eastAsia="宋体" w:cs="宋体"/>
                <w:b/>
              </w:rPr>
            </w:pPr>
            <w:r>
              <w:rPr>
                <w:rFonts w:hint="eastAsia" w:ascii="宋体" w:hAnsi="宋体" w:eastAsia="宋体" w:cs="宋体"/>
                <w:b/>
              </w:rPr>
              <w:t>设备用途</w:t>
            </w:r>
          </w:p>
        </w:tc>
        <w:tc>
          <w:tcPr>
            <w:tcW w:w="1403" w:type="dxa"/>
            <w:shd w:val="clear" w:color="auto" w:fill="F2F2F2"/>
            <w:vAlign w:val="center"/>
          </w:tcPr>
          <w:p w14:paraId="4B5A2CE3">
            <w:pPr>
              <w:pStyle w:val="20"/>
              <w:jc w:val="center"/>
              <w:rPr>
                <w:rFonts w:ascii="宋体" w:hAnsi="宋体" w:eastAsia="宋体" w:cs="宋体"/>
                <w:b/>
              </w:rPr>
            </w:pPr>
            <w:r>
              <w:rPr>
                <w:rFonts w:hint="eastAsia" w:ascii="宋体" w:hAnsi="宋体" w:eastAsia="宋体" w:cs="宋体"/>
                <w:b/>
              </w:rPr>
              <w:t>设备型号</w:t>
            </w:r>
          </w:p>
        </w:tc>
        <w:tc>
          <w:tcPr>
            <w:tcW w:w="1163" w:type="dxa"/>
            <w:shd w:val="clear" w:color="auto" w:fill="F2F2F2"/>
            <w:vAlign w:val="center"/>
          </w:tcPr>
          <w:p w14:paraId="58A6198D">
            <w:pPr>
              <w:pStyle w:val="20"/>
              <w:jc w:val="center"/>
              <w:rPr>
                <w:rFonts w:ascii="宋体" w:hAnsi="宋体" w:eastAsia="宋体" w:cs="宋体"/>
                <w:b/>
              </w:rPr>
            </w:pPr>
            <w:r>
              <w:rPr>
                <w:rFonts w:hint="eastAsia" w:ascii="宋体" w:hAnsi="宋体" w:eastAsia="宋体" w:cs="宋体"/>
                <w:b/>
              </w:rPr>
              <w:t>厂商</w:t>
            </w:r>
          </w:p>
        </w:tc>
        <w:tc>
          <w:tcPr>
            <w:tcW w:w="498" w:type="dxa"/>
            <w:shd w:val="clear" w:color="auto" w:fill="F2F2F2"/>
            <w:vAlign w:val="center"/>
          </w:tcPr>
          <w:p w14:paraId="6FB2141E">
            <w:pPr>
              <w:pStyle w:val="20"/>
              <w:jc w:val="center"/>
              <w:rPr>
                <w:rFonts w:ascii="宋体" w:hAnsi="宋体" w:eastAsia="宋体" w:cs="宋体"/>
                <w:b/>
              </w:rPr>
            </w:pPr>
            <w:r>
              <w:rPr>
                <w:rFonts w:hint="eastAsia" w:ascii="宋体" w:hAnsi="宋体" w:eastAsia="宋体" w:cs="宋体"/>
                <w:b/>
              </w:rPr>
              <w:t>数量</w:t>
            </w:r>
          </w:p>
        </w:tc>
        <w:tc>
          <w:tcPr>
            <w:tcW w:w="2976" w:type="dxa"/>
            <w:shd w:val="clear" w:color="auto" w:fill="F2F2F2"/>
            <w:vAlign w:val="center"/>
          </w:tcPr>
          <w:p w14:paraId="0122D0EF">
            <w:pPr>
              <w:pStyle w:val="20"/>
              <w:rPr>
                <w:rFonts w:ascii="宋体" w:hAnsi="宋体" w:eastAsia="宋体" w:cs="宋体"/>
                <w:b/>
              </w:rPr>
            </w:pPr>
            <w:r>
              <w:rPr>
                <w:rFonts w:hint="eastAsia" w:ascii="宋体" w:hAnsi="宋体" w:eastAsia="宋体" w:cs="宋体"/>
                <w:b/>
              </w:rPr>
              <w:t>主要配置</w:t>
            </w:r>
          </w:p>
        </w:tc>
        <w:tc>
          <w:tcPr>
            <w:tcW w:w="1134" w:type="dxa"/>
            <w:shd w:val="clear" w:color="auto" w:fill="F2F2F2"/>
            <w:vAlign w:val="center"/>
          </w:tcPr>
          <w:p w14:paraId="0C2CBF53">
            <w:pPr>
              <w:pStyle w:val="20"/>
              <w:jc w:val="center"/>
              <w:rPr>
                <w:rFonts w:ascii="宋体" w:hAnsi="宋体" w:eastAsia="宋体" w:cs="宋体"/>
                <w:b/>
              </w:rPr>
            </w:pPr>
            <w:r>
              <w:rPr>
                <w:rFonts w:hint="eastAsia" w:ascii="宋体" w:hAnsi="宋体" w:eastAsia="宋体" w:cs="宋体"/>
                <w:b/>
              </w:rPr>
              <w:t>在网年限</w:t>
            </w:r>
          </w:p>
        </w:tc>
        <w:tc>
          <w:tcPr>
            <w:tcW w:w="692" w:type="dxa"/>
            <w:shd w:val="clear" w:color="auto" w:fill="F2F2F2"/>
            <w:vAlign w:val="center"/>
          </w:tcPr>
          <w:p w14:paraId="537D4A5F">
            <w:pPr>
              <w:pStyle w:val="20"/>
              <w:jc w:val="center"/>
              <w:rPr>
                <w:rFonts w:ascii="宋体" w:hAnsi="宋体" w:eastAsia="宋体" w:cs="宋体"/>
                <w:b/>
              </w:rPr>
            </w:pPr>
            <w:r>
              <w:rPr>
                <w:rFonts w:hint="eastAsia" w:ascii="宋体" w:hAnsi="宋体" w:eastAsia="宋体" w:cs="宋体"/>
                <w:b/>
              </w:rPr>
              <w:t>处置意向</w:t>
            </w:r>
          </w:p>
        </w:tc>
      </w:tr>
      <w:tr w14:paraId="4666D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jc w:val="center"/>
        </w:trPr>
        <w:tc>
          <w:tcPr>
            <w:tcW w:w="9062" w:type="dxa"/>
            <w:gridSpan w:val="6"/>
            <w:shd w:val="clear" w:color="auto" w:fill="E7E6E6"/>
            <w:vAlign w:val="center"/>
          </w:tcPr>
          <w:p w14:paraId="5FD5A842">
            <w:pPr>
              <w:pStyle w:val="20"/>
              <w:jc w:val="center"/>
              <w:rPr>
                <w:rFonts w:ascii="宋体" w:hAnsi="宋体" w:eastAsia="宋体" w:cs="宋体"/>
              </w:rPr>
            </w:pPr>
            <w:r>
              <w:rPr>
                <w:rFonts w:hint="eastAsia" w:ascii="宋体" w:hAnsi="宋体" w:eastAsia="宋体" w:cs="宋体"/>
              </w:rPr>
              <w:t>屯溪路校区</w:t>
            </w:r>
          </w:p>
        </w:tc>
        <w:tc>
          <w:tcPr>
            <w:tcW w:w="692" w:type="dxa"/>
            <w:shd w:val="clear" w:color="auto" w:fill="E7E6E6"/>
            <w:vAlign w:val="center"/>
          </w:tcPr>
          <w:p w14:paraId="361FE9FB">
            <w:pPr>
              <w:pStyle w:val="20"/>
              <w:jc w:val="center"/>
              <w:rPr>
                <w:rFonts w:ascii="宋体" w:hAnsi="宋体" w:eastAsia="宋体" w:cs="宋体"/>
              </w:rPr>
            </w:pPr>
          </w:p>
        </w:tc>
      </w:tr>
      <w:tr w14:paraId="020742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0B2E3C8">
            <w:pPr>
              <w:pStyle w:val="20"/>
              <w:jc w:val="center"/>
              <w:rPr>
                <w:rFonts w:ascii="宋体" w:hAnsi="宋体" w:eastAsia="宋体" w:cs="宋体"/>
              </w:rPr>
            </w:pPr>
            <w:r>
              <w:rPr>
                <w:rFonts w:hint="eastAsia" w:ascii="宋体" w:hAnsi="宋体" w:eastAsia="宋体" w:cs="宋体"/>
              </w:rPr>
              <w:t>有线核心交换</w:t>
            </w:r>
            <w:r>
              <w:rPr>
                <w:rFonts w:hint="eastAsia" w:ascii="宋体" w:hAnsi="宋体" w:eastAsia="宋体" w:cs="宋体"/>
                <w:spacing w:val="-10"/>
              </w:rPr>
              <w:t>机</w:t>
            </w:r>
          </w:p>
        </w:tc>
        <w:tc>
          <w:tcPr>
            <w:tcW w:w="1403" w:type="dxa"/>
            <w:vAlign w:val="center"/>
          </w:tcPr>
          <w:p w14:paraId="74751D2A">
            <w:pPr>
              <w:pStyle w:val="20"/>
              <w:jc w:val="center"/>
              <w:rPr>
                <w:rFonts w:ascii="宋体" w:hAnsi="宋体" w:eastAsia="宋体" w:cs="宋体"/>
              </w:rPr>
            </w:pPr>
          </w:p>
          <w:p w14:paraId="1DA6698F">
            <w:pPr>
              <w:pStyle w:val="20"/>
              <w:jc w:val="center"/>
              <w:rPr>
                <w:rFonts w:ascii="宋体" w:hAnsi="宋体" w:eastAsia="宋体" w:cs="宋体"/>
              </w:rPr>
            </w:pPr>
            <w:r>
              <w:rPr>
                <w:rFonts w:hint="eastAsia" w:ascii="宋体" w:hAnsi="宋体" w:eastAsia="宋体" w:cs="宋体"/>
              </w:rPr>
              <w:t>N7K-</w:t>
            </w:r>
            <w:r>
              <w:rPr>
                <w:rFonts w:hint="eastAsia" w:ascii="宋体" w:hAnsi="宋体" w:eastAsia="宋体" w:cs="宋体"/>
                <w:spacing w:val="-2"/>
              </w:rPr>
              <w:t>C7010</w:t>
            </w:r>
          </w:p>
        </w:tc>
        <w:tc>
          <w:tcPr>
            <w:tcW w:w="1163" w:type="dxa"/>
            <w:vAlign w:val="center"/>
          </w:tcPr>
          <w:p w14:paraId="6D4AA81D">
            <w:pPr>
              <w:pStyle w:val="20"/>
              <w:jc w:val="center"/>
              <w:rPr>
                <w:rFonts w:ascii="宋体" w:hAnsi="宋体" w:eastAsia="宋体" w:cs="宋体"/>
              </w:rPr>
            </w:pPr>
          </w:p>
          <w:p w14:paraId="42E85F86">
            <w:pPr>
              <w:pStyle w:val="20"/>
              <w:jc w:val="center"/>
              <w:rPr>
                <w:rFonts w:ascii="宋体" w:hAnsi="宋体" w:eastAsia="宋体" w:cs="宋体"/>
              </w:rPr>
            </w:pPr>
            <w:r>
              <w:rPr>
                <w:rFonts w:hint="eastAsia" w:ascii="宋体" w:hAnsi="宋体" w:eastAsia="宋体" w:cs="宋体"/>
              </w:rPr>
              <w:t>思科</w:t>
            </w:r>
          </w:p>
        </w:tc>
        <w:tc>
          <w:tcPr>
            <w:tcW w:w="498" w:type="dxa"/>
            <w:vAlign w:val="center"/>
          </w:tcPr>
          <w:p w14:paraId="0C388760">
            <w:pPr>
              <w:pStyle w:val="20"/>
              <w:jc w:val="center"/>
              <w:rPr>
                <w:rFonts w:ascii="宋体" w:hAnsi="宋体" w:eastAsia="宋体" w:cs="宋体"/>
              </w:rPr>
            </w:pPr>
          </w:p>
          <w:p w14:paraId="7534A090">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5A80D88A">
            <w:pPr>
              <w:pStyle w:val="20"/>
              <w:rPr>
                <w:rFonts w:ascii="宋体" w:hAnsi="宋体" w:eastAsia="宋体" w:cs="宋体"/>
              </w:rPr>
            </w:pPr>
            <w:r>
              <w:rPr>
                <w:rFonts w:hint="eastAsia" w:ascii="宋体" w:hAnsi="宋体" w:eastAsia="宋体" w:cs="宋体"/>
              </w:rPr>
              <w:t xml:space="preserve">交换容量 </w:t>
            </w:r>
            <w:r>
              <w:rPr>
                <w:rFonts w:hint="eastAsia" w:ascii="宋体" w:hAnsi="宋体" w:eastAsia="宋体" w:cs="宋体"/>
                <w:spacing w:val="-4"/>
              </w:rPr>
              <w:t>9.9</w:t>
            </w:r>
            <w:r>
              <w:rPr>
                <w:rFonts w:hint="eastAsia" w:ascii="宋体" w:hAnsi="宋体" w:eastAsia="宋体" w:cs="宋体"/>
                <w:spacing w:val="-25"/>
              </w:rPr>
              <w:t xml:space="preserve"> </w:t>
            </w:r>
            <w:r>
              <w:rPr>
                <w:rFonts w:hint="eastAsia" w:ascii="宋体" w:hAnsi="宋体" w:eastAsia="宋体" w:cs="宋体"/>
                <w:spacing w:val="-4"/>
              </w:rPr>
              <w:t>Tbps，2</w:t>
            </w:r>
            <w:r>
              <w:rPr>
                <w:rFonts w:hint="eastAsia" w:ascii="宋体" w:hAnsi="宋体" w:eastAsia="宋体" w:cs="宋体"/>
              </w:rPr>
              <w:t xml:space="preserve"> 个主控槽位，</w:t>
            </w:r>
            <w:r>
              <w:rPr>
                <w:rFonts w:hint="eastAsia" w:ascii="宋体" w:hAnsi="宋体" w:eastAsia="宋体" w:cs="宋体"/>
                <w:spacing w:val="-4"/>
              </w:rPr>
              <w:t>5</w:t>
            </w:r>
            <w:r>
              <w:rPr>
                <w:rFonts w:hint="eastAsia" w:ascii="宋体" w:hAnsi="宋体" w:eastAsia="宋体" w:cs="宋体"/>
                <w:spacing w:val="-6"/>
              </w:rPr>
              <w:t>个交换网板槽位，8</w:t>
            </w:r>
            <w:r>
              <w:rPr>
                <w:rFonts w:hint="eastAsia" w:ascii="宋体" w:hAnsi="宋体" w:eastAsia="宋体" w:cs="宋体"/>
                <w:spacing w:val="-11"/>
              </w:rPr>
              <w:t xml:space="preserve"> 个业务槽位</w:t>
            </w:r>
            <w:r>
              <w:rPr>
                <w:rFonts w:hint="eastAsia" w:ascii="宋体" w:hAnsi="宋体" w:eastAsia="宋体" w:cs="宋体"/>
                <w:spacing w:val="-6"/>
              </w:rPr>
              <w:t>，3</w:t>
            </w:r>
            <w:r>
              <w:rPr>
                <w:rFonts w:hint="eastAsia" w:ascii="宋体" w:hAnsi="宋体" w:eastAsia="宋体" w:cs="宋体"/>
                <w:spacing w:val="-15"/>
              </w:rPr>
              <w:t xml:space="preserve"> 个</w:t>
            </w:r>
            <w:r>
              <w:rPr>
                <w:rFonts w:hint="eastAsia" w:ascii="宋体" w:hAnsi="宋体" w:eastAsia="宋体" w:cs="宋体"/>
                <w:spacing w:val="-2"/>
              </w:rPr>
              <w:t>模块化电源槽位</w:t>
            </w:r>
          </w:p>
        </w:tc>
        <w:tc>
          <w:tcPr>
            <w:tcW w:w="1134" w:type="dxa"/>
            <w:vAlign w:val="center"/>
          </w:tcPr>
          <w:p w14:paraId="68772E83">
            <w:pPr>
              <w:pStyle w:val="20"/>
              <w:jc w:val="center"/>
              <w:rPr>
                <w:rFonts w:ascii="宋体" w:hAnsi="宋体" w:eastAsia="宋体" w:cs="宋体"/>
              </w:rPr>
            </w:pPr>
            <w:r>
              <w:rPr>
                <w:rFonts w:hint="eastAsia" w:ascii="宋体" w:hAnsi="宋体" w:eastAsia="宋体" w:cs="宋体"/>
              </w:rPr>
              <w:t>2013</w:t>
            </w:r>
            <w:r>
              <w:rPr>
                <w:rFonts w:hint="eastAsia" w:ascii="宋体" w:hAnsi="宋体" w:eastAsia="宋体" w:cs="宋体"/>
                <w:spacing w:val="-24"/>
              </w:rPr>
              <w:t xml:space="preserve"> 年上</w:t>
            </w:r>
          </w:p>
          <w:p w14:paraId="584E14B7">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5"/>
              </w:rPr>
              <w:t>11</w:t>
            </w:r>
            <w:r>
              <w:rPr>
                <w:rFonts w:hint="eastAsia" w:ascii="宋体" w:hAnsi="宋体" w:eastAsia="宋体" w:cs="宋体"/>
              </w:rPr>
              <w:t>年</w:t>
            </w:r>
          </w:p>
        </w:tc>
        <w:tc>
          <w:tcPr>
            <w:tcW w:w="692" w:type="dxa"/>
            <w:vAlign w:val="center"/>
          </w:tcPr>
          <w:p w14:paraId="1BA80FE3">
            <w:pPr>
              <w:pStyle w:val="20"/>
              <w:jc w:val="center"/>
              <w:rPr>
                <w:rFonts w:ascii="宋体" w:hAnsi="宋体" w:eastAsia="宋体" w:cs="宋体"/>
              </w:rPr>
            </w:pPr>
            <w:r>
              <w:rPr>
                <w:rFonts w:hint="eastAsia" w:ascii="宋体" w:hAnsi="宋体" w:eastAsia="宋体" w:cs="宋体"/>
              </w:rPr>
              <w:t>利旧</w:t>
            </w:r>
          </w:p>
        </w:tc>
      </w:tr>
      <w:tr w14:paraId="2922E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737766FC">
            <w:pPr>
              <w:pStyle w:val="20"/>
              <w:jc w:val="center"/>
              <w:rPr>
                <w:rFonts w:ascii="宋体" w:hAnsi="宋体" w:eastAsia="宋体" w:cs="宋体"/>
              </w:rPr>
            </w:pPr>
            <w:r>
              <w:rPr>
                <w:rFonts w:hint="eastAsia" w:ascii="宋体" w:hAnsi="宋体" w:eastAsia="宋体" w:cs="宋体"/>
              </w:rPr>
              <w:t>无线核心交换</w:t>
            </w:r>
            <w:r>
              <w:rPr>
                <w:rFonts w:hint="eastAsia" w:ascii="宋体" w:hAnsi="宋体" w:eastAsia="宋体" w:cs="宋体"/>
                <w:spacing w:val="-10"/>
              </w:rPr>
              <w:t>机</w:t>
            </w:r>
          </w:p>
        </w:tc>
        <w:tc>
          <w:tcPr>
            <w:tcW w:w="1403" w:type="dxa"/>
            <w:vAlign w:val="center"/>
          </w:tcPr>
          <w:p w14:paraId="14C6F94A">
            <w:pPr>
              <w:pStyle w:val="20"/>
              <w:jc w:val="center"/>
              <w:rPr>
                <w:rFonts w:ascii="宋体" w:hAnsi="宋体" w:eastAsia="宋体" w:cs="宋体"/>
              </w:rPr>
            </w:pPr>
          </w:p>
          <w:p w14:paraId="20623DD7">
            <w:pPr>
              <w:pStyle w:val="20"/>
              <w:jc w:val="center"/>
              <w:rPr>
                <w:rFonts w:ascii="宋体" w:hAnsi="宋体" w:eastAsia="宋体" w:cs="宋体"/>
              </w:rPr>
            </w:pPr>
            <w:r>
              <w:rPr>
                <w:rFonts w:hint="eastAsia" w:ascii="宋体" w:hAnsi="宋体" w:eastAsia="宋体" w:cs="宋体"/>
              </w:rPr>
              <w:t>C9407R</w:t>
            </w:r>
          </w:p>
        </w:tc>
        <w:tc>
          <w:tcPr>
            <w:tcW w:w="1163" w:type="dxa"/>
            <w:vAlign w:val="center"/>
          </w:tcPr>
          <w:p w14:paraId="7A8B5D35">
            <w:pPr>
              <w:pStyle w:val="20"/>
              <w:jc w:val="center"/>
              <w:rPr>
                <w:rFonts w:ascii="宋体" w:hAnsi="宋体" w:eastAsia="宋体" w:cs="宋体"/>
              </w:rPr>
            </w:pPr>
          </w:p>
          <w:p w14:paraId="0D692119">
            <w:pPr>
              <w:pStyle w:val="20"/>
              <w:jc w:val="center"/>
              <w:rPr>
                <w:rFonts w:ascii="宋体" w:hAnsi="宋体" w:eastAsia="宋体" w:cs="宋体"/>
              </w:rPr>
            </w:pPr>
            <w:r>
              <w:rPr>
                <w:rFonts w:hint="eastAsia" w:ascii="宋体" w:hAnsi="宋体" w:eastAsia="宋体" w:cs="宋体"/>
              </w:rPr>
              <w:t>思科</w:t>
            </w:r>
          </w:p>
        </w:tc>
        <w:tc>
          <w:tcPr>
            <w:tcW w:w="498" w:type="dxa"/>
            <w:vAlign w:val="center"/>
          </w:tcPr>
          <w:p w14:paraId="2EC2C504">
            <w:pPr>
              <w:pStyle w:val="20"/>
              <w:jc w:val="center"/>
              <w:rPr>
                <w:rFonts w:ascii="宋体" w:hAnsi="宋体" w:eastAsia="宋体" w:cs="宋体"/>
              </w:rPr>
            </w:pPr>
          </w:p>
          <w:p w14:paraId="4E288C8B">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3766D5CF">
            <w:pPr>
              <w:pStyle w:val="20"/>
              <w:rPr>
                <w:rFonts w:ascii="宋体" w:hAnsi="宋体" w:eastAsia="宋体" w:cs="宋体"/>
              </w:rPr>
            </w:pPr>
            <w:r>
              <w:rPr>
                <w:rFonts w:hint="eastAsia" w:ascii="宋体" w:hAnsi="宋体" w:eastAsia="宋体" w:cs="宋体"/>
                <w:spacing w:val="-6"/>
              </w:rPr>
              <w:t>2</w:t>
            </w:r>
            <w:r>
              <w:rPr>
                <w:rFonts w:hint="eastAsia" w:ascii="宋体" w:hAnsi="宋体" w:eastAsia="宋体" w:cs="宋体"/>
                <w:spacing w:val="-11"/>
              </w:rPr>
              <w:t xml:space="preserve"> 个主控槽位</w:t>
            </w:r>
            <w:r>
              <w:rPr>
                <w:rFonts w:hint="eastAsia" w:ascii="宋体" w:hAnsi="宋体" w:eastAsia="宋体" w:cs="宋体"/>
                <w:spacing w:val="-6"/>
              </w:rPr>
              <w:t>，5</w:t>
            </w:r>
            <w:r>
              <w:rPr>
                <w:rFonts w:hint="eastAsia" w:ascii="宋体" w:hAnsi="宋体" w:eastAsia="宋体" w:cs="宋体"/>
              </w:rPr>
              <w:t xml:space="preserve"> 个业务槽位，每个业</w:t>
            </w:r>
            <w:r>
              <w:rPr>
                <w:rFonts w:hint="eastAsia" w:ascii="宋体" w:hAnsi="宋体" w:eastAsia="宋体" w:cs="宋体"/>
                <w:spacing w:val="-7"/>
              </w:rPr>
              <w:t xml:space="preserve">务槽位最大支持 </w:t>
            </w:r>
            <w:r>
              <w:rPr>
                <w:rFonts w:hint="eastAsia" w:ascii="宋体" w:hAnsi="宋体" w:eastAsia="宋体" w:cs="宋体"/>
                <w:spacing w:val="-4"/>
              </w:rPr>
              <w:t>480Gbps，8</w:t>
            </w:r>
            <w:r>
              <w:rPr>
                <w:rFonts w:hint="eastAsia" w:ascii="宋体" w:hAnsi="宋体" w:eastAsia="宋体" w:cs="宋体"/>
                <w:spacing w:val="-9"/>
              </w:rPr>
              <w:t xml:space="preserve"> 个电源槽</w:t>
            </w:r>
            <w:r>
              <w:rPr>
                <w:rFonts w:hint="eastAsia" w:ascii="宋体" w:hAnsi="宋体" w:eastAsia="宋体" w:cs="宋体"/>
              </w:rPr>
              <w:t>位</w:t>
            </w:r>
          </w:p>
        </w:tc>
        <w:tc>
          <w:tcPr>
            <w:tcW w:w="1134" w:type="dxa"/>
            <w:vAlign w:val="center"/>
          </w:tcPr>
          <w:p w14:paraId="57B52365">
            <w:pPr>
              <w:pStyle w:val="20"/>
              <w:jc w:val="center"/>
              <w:rPr>
                <w:rFonts w:ascii="宋体" w:hAnsi="宋体" w:eastAsia="宋体" w:cs="宋体"/>
              </w:rPr>
            </w:pPr>
            <w:r>
              <w:rPr>
                <w:rFonts w:hint="eastAsia" w:ascii="宋体" w:hAnsi="宋体" w:eastAsia="宋体" w:cs="宋体"/>
              </w:rPr>
              <w:t>2018</w:t>
            </w:r>
            <w:r>
              <w:rPr>
                <w:rFonts w:hint="eastAsia" w:ascii="宋体" w:hAnsi="宋体" w:eastAsia="宋体" w:cs="宋体"/>
                <w:spacing w:val="-24"/>
              </w:rPr>
              <w:t xml:space="preserve"> 年上</w:t>
            </w:r>
          </w:p>
          <w:p w14:paraId="02AD7B8F">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10"/>
              </w:rPr>
              <w:t>6</w:t>
            </w:r>
            <w:r>
              <w:rPr>
                <w:rFonts w:hint="eastAsia" w:ascii="宋体" w:hAnsi="宋体" w:eastAsia="宋体" w:cs="宋体"/>
              </w:rPr>
              <w:t>年</w:t>
            </w:r>
          </w:p>
        </w:tc>
        <w:tc>
          <w:tcPr>
            <w:tcW w:w="692" w:type="dxa"/>
            <w:vAlign w:val="center"/>
          </w:tcPr>
          <w:p w14:paraId="2EE604E0">
            <w:pPr>
              <w:pStyle w:val="20"/>
              <w:jc w:val="center"/>
              <w:rPr>
                <w:rFonts w:ascii="宋体" w:hAnsi="宋体" w:eastAsia="宋体" w:cs="宋体"/>
              </w:rPr>
            </w:pPr>
            <w:r>
              <w:rPr>
                <w:rFonts w:hint="eastAsia" w:ascii="宋体" w:hAnsi="宋体" w:eastAsia="宋体" w:cs="宋体"/>
              </w:rPr>
              <w:t>利旧</w:t>
            </w:r>
          </w:p>
        </w:tc>
      </w:tr>
      <w:tr w14:paraId="3B7CB2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218E42B6">
            <w:pPr>
              <w:pStyle w:val="20"/>
              <w:jc w:val="center"/>
              <w:rPr>
                <w:rFonts w:ascii="宋体" w:hAnsi="宋体" w:eastAsia="宋体" w:cs="宋体"/>
              </w:rPr>
            </w:pPr>
          </w:p>
          <w:p w14:paraId="3CBEDFD7">
            <w:pPr>
              <w:pStyle w:val="20"/>
              <w:jc w:val="center"/>
              <w:rPr>
                <w:rFonts w:ascii="宋体" w:hAnsi="宋体" w:eastAsia="宋体" w:cs="宋体"/>
              </w:rPr>
            </w:pPr>
            <w:r>
              <w:rPr>
                <w:rFonts w:hint="eastAsia" w:ascii="宋体" w:hAnsi="宋体" w:eastAsia="宋体" w:cs="宋体"/>
              </w:rPr>
              <w:t>准出认</w:t>
            </w:r>
            <w:r>
              <w:rPr>
                <w:rFonts w:hint="eastAsia" w:ascii="宋体" w:hAnsi="宋体" w:eastAsia="宋体" w:cs="宋体"/>
                <w:spacing w:val="-10"/>
              </w:rPr>
              <w:t>证</w:t>
            </w:r>
          </w:p>
        </w:tc>
        <w:tc>
          <w:tcPr>
            <w:tcW w:w="1403" w:type="dxa"/>
            <w:vAlign w:val="center"/>
          </w:tcPr>
          <w:p w14:paraId="2CA1C47C">
            <w:pPr>
              <w:pStyle w:val="20"/>
              <w:jc w:val="center"/>
              <w:rPr>
                <w:rFonts w:ascii="宋体" w:hAnsi="宋体" w:eastAsia="宋体" w:cs="宋体"/>
              </w:rPr>
            </w:pPr>
          </w:p>
          <w:p w14:paraId="1DD2F1BC">
            <w:pPr>
              <w:pStyle w:val="20"/>
              <w:jc w:val="center"/>
              <w:rPr>
                <w:rFonts w:ascii="宋体" w:hAnsi="宋体" w:eastAsia="宋体" w:cs="宋体"/>
              </w:rPr>
            </w:pPr>
            <w:r>
              <w:rPr>
                <w:rFonts w:hint="eastAsia" w:ascii="宋体" w:hAnsi="宋体" w:eastAsia="宋体" w:cs="宋体"/>
              </w:rPr>
              <w:t>Dr.COM-</w:t>
            </w:r>
            <w:r>
              <w:rPr>
                <w:rFonts w:hint="eastAsia" w:ascii="宋体" w:hAnsi="宋体" w:eastAsia="宋体" w:cs="宋体"/>
                <w:spacing w:val="-4"/>
              </w:rPr>
              <w:t>2166</w:t>
            </w:r>
          </w:p>
        </w:tc>
        <w:tc>
          <w:tcPr>
            <w:tcW w:w="1163" w:type="dxa"/>
            <w:vAlign w:val="center"/>
          </w:tcPr>
          <w:p w14:paraId="749A4CE6">
            <w:pPr>
              <w:pStyle w:val="20"/>
              <w:jc w:val="center"/>
              <w:rPr>
                <w:rFonts w:ascii="宋体" w:hAnsi="宋体" w:eastAsia="宋体" w:cs="宋体"/>
              </w:rPr>
            </w:pPr>
          </w:p>
          <w:p w14:paraId="15467AC7">
            <w:pPr>
              <w:pStyle w:val="20"/>
              <w:jc w:val="center"/>
              <w:rPr>
                <w:rFonts w:ascii="宋体" w:hAnsi="宋体" w:eastAsia="宋体" w:cs="宋体"/>
              </w:rPr>
            </w:pPr>
            <w:r>
              <w:rPr>
                <w:rFonts w:hint="eastAsia" w:ascii="宋体" w:hAnsi="宋体" w:eastAsia="宋体" w:cs="宋体"/>
              </w:rPr>
              <w:t>城市热</w:t>
            </w:r>
            <w:r>
              <w:rPr>
                <w:rFonts w:hint="eastAsia" w:ascii="宋体" w:hAnsi="宋体" w:eastAsia="宋体" w:cs="宋体"/>
                <w:spacing w:val="-10"/>
              </w:rPr>
              <w:t>点</w:t>
            </w:r>
          </w:p>
        </w:tc>
        <w:tc>
          <w:tcPr>
            <w:tcW w:w="498" w:type="dxa"/>
            <w:vAlign w:val="center"/>
          </w:tcPr>
          <w:p w14:paraId="7BEE1EA7">
            <w:pPr>
              <w:pStyle w:val="20"/>
              <w:jc w:val="center"/>
              <w:rPr>
                <w:rFonts w:ascii="宋体" w:hAnsi="宋体" w:eastAsia="宋体" w:cs="宋体"/>
              </w:rPr>
            </w:pPr>
          </w:p>
          <w:p w14:paraId="628FD0B1">
            <w:pPr>
              <w:pStyle w:val="20"/>
              <w:jc w:val="center"/>
              <w:rPr>
                <w:rFonts w:ascii="宋体" w:hAnsi="宋体" w:eastAsia="宋体" w:cs="宋体"/>
              </w:rPr>
            </w:pPr>
            <w:r>
              <w:rPr>
                <w:rFonts w:hint="eastAsia" w:ascii="宋体" w:hAnsi="宋体" w:eastAsia="宋体" w:cs="宋体"/>
              </w:rPr>
              <w:t>4</w:t>
            </w:r>
          </w:p>
        </w:tc>
        <w:tc>
          <w:tcPr>
            <w:tcW w:w="2976" w:type="dxa"/>
            <w:vAlign w:val="center"/>
          </w:tcPr>
          <w:p w14:paraId="4D5C8F1E">
            <w:pPr>
              <w:pStyle w:val="20"/>
              <w:rPr>
                <w:rFonts w:ascii="宋体" w:hAnsi="宋体" w:eastAsia="宋体" w:cs="宋体"/>
              </w:rPr>
            </w:pPr>
          </w:p>
          <w:p w14:paraId="7FA6C568">
            <w:pPr>
              <w:pStyle w:val="20"/>
              <w:rPr>
                <w:rFonts w:ascii="宋体" w:hAnsi="宋体" w:eastAsia="宋体" w:cs="宋体"/>
              </w:rPr>
            </w:pPr>
            <w:r>
              <w:rPr>
                <w:rFonts w:hint="eastAsia" w:ascii="宋体" w:hAnsi="宋体" w:eastAsia="宋体" w:cs="宋体"/>
              </w:rPr>
              <w:t>2000 用户接入服务管理器平台</w:t>
            </w:r>
          </w:p>
        </w:tc>
        <w:tc>
          <w:tcPr>
            <w:tcW w:w="1134" w:type="dxa"/>
            <w:vAlign w:val="center"/>
          </w:tcPr>
          <w:p w14:paraId="471EB55D">
            <w:pPr>
              <w:pStyle w:val="20"/>
              <w:jc w:val="center"/>
              <w:rPr>
                <w:rFonts w:ascii="宋体" w:hAnsi="宋体" w:eastAsia="宋体" w:cs="宋体"/>
              </w:rPr>
            </w:pPr>
            <w:r>
              <w:rPr>
                <w:rFonts w:hint="eastAsia" w:ascii="宋体" w:hAnsi="宋体" w:eastAsia="宋体" w:cs="宋体"/>
              </w:rPr>
              <w:t>2018</w:t>
            </w:r>
            <w:r>
              <w:rPr>
                <w:rFonts w:hint="eastAsia" w:ascii="宋体" w:hAnsi="宋体" w:eastAsia="宋体" w:cs="宋体"/>
                <w:spacing w:val="-24"/>
              </w:rPr>
              <w:t xml:space="preserve"> 年上</w:t>
            </w:r>
          </w:p>
          <w:p w14:paraId="2D16B15E">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10"/>
              </w:rPr>
              <w:t>6</w:t>
            </w:r>
            <w:r>
              <w:rPr>
                <w:rFonts w:hint="eastAsia" w:ascii="宋体" w:hAnsi="宋体" w:eastAsia="宋体" w:cs="宋体"/>
              </w:rPr>
              <w:t>年</w:t>
            </w:r>
          </w:p>
        </w:tc>
        <w:tc>
          <w:tcPr>
            <w:tcW w:w="692" w:type="dxa"/>
            <w:vAlign w:val="center"/>
          </w:tcPr>
          <w:p w14:paraId="67A9F002">
            <w:pPr>
              <w:pStyle w:val="20"/>
              <w:jc w:val="center"/>
              <w:rPr>
                <w:rFonts w:ascii="宋体" w:hAnsi="宋体" w:eastAsia="宋体" w:cs="宋体"/>
              </w:rPr>
            </w:pPr>
            <w:r>
              <w:rPr>
                <w:rFonts w:hint="eastAsia" w:ascii="宋体" w:hAnsi="宋体" w:eastAsia="宋体" w:cs="宋体"/>
              </w:rPr>
              <w:t>利旧</w:t>
            </w:r>
          </w:p>
        </w:tc>
      </w:tr>
      <w:tr w14:paraId="07861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0327D4F0">
            <w:pPr>
              <w:pStyle w:val="20"/>
              <w:jc w:val="center"/>
              <w:rPr>
                <w:rFonts w:ascii="宋体" w:hAnsi="宋体" w:eastAsia="宋体" w:cs="宋体"/>
              </w:rPr>
            </w:pPr>
            <w:r>
              <w:rPr>
                <w:rFonts w:hint="eastAsia" w:ascii="宋体" w:hAnsi="宋体" w:eastAsia="宋体" w:cs="宋体"/>
              </w:rPr>
              <w:t>教育网无线认证网关</w:t>
            </w:r>
          </w:p>
        </w:tc>
        <w:tc>
          <w:tcPr>
            <w:tcW w:w="1403" w:type="dxa"/>
            <w:vAlign w:val="center"/>
          </w:tcPr>
          <w:p w14:paraId="14B99D31">
            <w:pPr>
              <w:pStyle w:val="20"/>
              <w:jc w:val="center"/>
              <w:rPr>
                <w:rFonts w:ascii="宋体" w:hAnsi="宋体" w:eastAsia="宋体" w:cs="宋体"/>
              </w:rPr>
            </w:pPr>
          </w:p>
          <w:p w14:paraId="22691C7F">
            <w:pPr>
              <w:pStyle w:val="20"/>
              <w:jc w:val="center"/>
              <w:rPr>
                <w:rFonts w:ascii="宋体" w:hAnsi="宋体" w:eastAsia="宋体" w:cs="宋体"/>
              </w:rPr>
            </w:pPr>
            <w:r>
              <w:rPr>
                <w:rFonts w:hint="eastAsia" w:ascii="宋体" w:hAnsi="宋体" w:eastAsia="宋体" w:cs="宋体"/>
              </w:rPr>
              <w:t>Dr.COM-</w:t>
            </w:r>
            <w:r>
              <w:rPr>
                <w:rFonts w:hint="eastAsia" w:ascii="宋体" w:hAnsi="宋体" w:eastAsia="宋体" w:cs="宋体"/>
                <w:spacing w:val="-4"/>
              </w:rPr>
              <w:t>2188</w:t>
            </w:r>
          </w:p>
        </w:tc>
        <w:tc>
          <w:tcPr>
            <w:tcW w:w="1163" w:type="dxa"/>
            <w:vAlign w:val="center"/>
          </w:tcPr>
          <w:p w14:paraId="7CB0FD98">
            <w:pPr>
              <w:pStyle w:val="20"/>
              <w:jc w:val="center"/>
              <w:rPr>
                <w:rFonts w:ascii="宋体" w:hAnsi="宋体" w:eastAsia="宋体" w:cs="宋体"/>
              </w:rPr>
            </w:pPr>
          </w:p>
          <w:p w14:paraId="0B86841C">
            <w:pPr>
              <w:pStyle w:val="20"/>
              <w:jc w:val="center"/>
              <w:rPr>
                <w:rFonts w:ascii="宋体" w:hAnsi="宋体" w:eastAsia="宋体" w:cs="宋体"/>
              </w:rPr>
            </w:pPr>
            <w:r>
              <w:rPr>
                <w:rFonts w:hint="eastAsia" w:ascii="宋体" w:hAnsi="宋体" w:eastAsia="宋体" w:cs="宋体"/>
              </w:rPr>
              <w:t>城市热</w:t>
            </w:r>
            <w:r>
              <w:rPr>
                <w:rFonts w:hint="eastAsia" w:ascii="宋体" w:hAnsi="宋体" w:eastAsia="宋体" w:cs="宋体"/>
                <w:spacing w:val="-10"/>
              </w:rPr>
              <w:t>点</w:t>
            </w:r>
          </w:p>
        </w:tc>
        <w:tc>
          <w:tcPr>
            <w:tcW w:w="498" w:type="dxa"/>
            <w:vAlign w:val="center"/>
          </w:tcPr>
          <w:p w14:paraId="0328DC52">
            <w:pPr>
              <w:pStyle w:val="20"/>
              <w:jc w:val="center"/>
              <w:rPr>
                <w:rFonts w:ascii="宋体" w:hAnsi="宋体" w:eastAsia="宋体" w:cs="宋体"/>
              </w:rPr>
            </w:pPr>
          </w:p>
          <w:p w14:paraId="64AB1ACE">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6F239719">
            <w:pPr>
              <w:pStyle w:val="20"/>
              <w:rPr>
                <w:rFonts w:ascii="宋体" w:hAnsi="宋体" w:eastAsia="宋体" w:cs="宋体"/>
              </w:rPr>
            </w:pPr>
          </w:p>
          <w:p w14:paraId="0FA79A9E">
            <w:pPr>
              <w:pStyle w:val="20"/>
              <w:rPr>
                <w:rFonts w:ascii="宋体" w:hAnsi="宋体" w:eastAsia="宋体" w:cs="宋体"/>
              </w:rPr>
            </w:pPr>
            <w:r>
              <w:rPr>
                <w:rFonts w:hint="eastAsia" w:ascii="宋体" w:hAnsi="宋体" w:eastAsia="宋体" w:cs="宋体"/>
              </w:rPr>
              <w:t>2000 用户接入服务管理器平台</w:t>
            </w:r>
          </w:p>
        </w:tc>
        <w:tc>
          <w:tcPr>
            <w:tcW w:w="1134" w:type="dxa"/>
            <w:vAlign w:val="center"/>
          </w:tcPr>
          <w:p w14:paraId="5DA688D5">
            <w:pPr>
              <w:pStyle w:val="20"/>
              <w:jc w:val="center"/>
              <w:rPr>
                <w:rFonts w:ascii="宋体" w:hAnsi="宋体" w:eastAsia="宋体" w:cs="宋体"/>
              </w:rPr>
            </w:pPr>
            <w:r>
              <w:rPr>
                <w:rFonts w:hint="eastAsia" w:ascii="宋体" w:hAnsi="宋体" w:eastAsia="宋体" w:cs="宋体"/>
              </w:rPr>
              <w:t>2019</w:t>
            </w:r>
            <w:r>
              <w:rPr>
                <w:rFonts w:hint="eastAsia" w:ascii="宋体" w:hAnsi="宋体" w:eastAsia="宋体" w:cs="宋体"/>
                <w:spacing w:val="-24"/>
              </w:rPr>
              <w:t xml:space="preserve"> 年上</w:t>
            </w:r>
          </w:p>
          <w:p w14:paraId="0BA022E4">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10"/>
              </w:rPr>
              <w:t>5</w:t>
            </w:r>
            <w:r>
              <w:rPr>
                <w:rFonts w:hint="eastAsia" w:ascii="宋体" w:hAnsi="宋体" w:eastAsia="宋体" w:cs="宋体"/>
              </w:rPr>
              <w:t>年</w:t>
            </w:r>
          </w:p>
        </w:tc>
        <w:tc>
          <w:tcPr>
            <w:tcW w:w="692" w:type="dxa"/>
            <w:vAlign w:val="center"/>
          </w:tcPr>
          <w:p w14:paraId="017FA57D">
            <w:pPr>
              <w:jc w:val="center"/>
              <w:rPr>
                <w:rFonts w:ascii="宋体" w:hAnsi="宋体" w:eastAsia="宋体" w:cs="宋体"/>
              </w:rPr>
            </w:pPr>
            <w:r>
              <w:rPr>
                <w:rFonts w:hint="eastAsia" w:ascii="宋体" w:hAnsi="宋体" w:eastAsia="宋体" w:cs="宋体"/>
              </w:rPr>
              <w:t>利旧</w:t>
            </w:r>
          </w:p>
        </w:tc>
      </w:tr>
      <w:tr w14:paraId="5EF97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748446C0">
            <w:pPr>
              <w:pStyle w:val="20"/>
              <w:jc w:val="center"/>
              <w:rPr>
                <w:rFonts w:ascii="宋体" w:hAnsi="宋体" w:eastAsia="宋体" w:cs="宋体"/>
              </w:rPr>
            </w:pPr>
            <w:r>
              <w:rPr>
                <w:rFonts w:hint="eastAsia" w:ascii="宋体" w:hAnsi="宋体" w:eastAsia="宋体" w:cs="宋体"/>
              </w:rPr>
              <w:t>教育网出口路</w:t>
            </w:r>
            <w:r>
              <w:rPr>
                <w:rFonts w:hint="eastAsia" w:ascii="宋体" w:hAnsi="宋体" w:eastAsia="宋体" w:cs="宋体"/>
                <w:spacing w:val="-6"/>
              </w:rPr>
              <w:t>由器</w:t>
            </w:r>
          </w:p>
        </w:tc>
        <w:tc>
          <w:tcPr>
            <w:tcW w:w="1403" w:type="dxa"/>
            <w:vAlign w:val="center"/>
          </w:tcPr>
          <w:p w14:paraId="4F2E798A">
            <w:pPr>
              <w:pStyle w:val="20"/>
              <w:jc w:val="center"/>
              <w:rPr>
                <w:rFonts w:ascii="宋体" w:hAnsi="宋体" w:eastAsia="宋体" w:cs="宋体"/>
              </w:rPr>
            </w:pPr>
            <w:r>
              <w:rPr>
                <w:rFonts w:hint="eastAsia" w:ascii="宋体" w:hAnsi="宋体" w:eastAsia="宋体" w:cs="宋体"/>
              </w:rPr>
              <w:t>panabit</w:t>
            </w:r>
          </w:p>
        </w:tc>
        <w:tc>
          <w:tcPr>
            <w:tcW w:w="1163" w:type="dxa"/>
            <w:vAlign w:val="center"/>
          </w:tcPr>
          <w:p w14:paraId="4B1C8A1E">
            <w:pPr>
              <w:pStyle w:val="20"/>
              <w:jc w:val="center"/>
              <w:rPr>
                <w:rFonts w:ascii="宋体" w:hAnsi="宋体" w:eastAsia="宋体" w:cs="宋体"/>
              </w:rPr>
            </w:pPr>
            <w:r>
              <w:rPr>
                <w:rFonts w:hint="eastAsia" w:ascii="宋体" w:hAnsi="宋体" w:eastAsia="宋体" w:cs="宋体"/>
              </w:rPr>
              <w:t>派网</w:t>
            </w:r>
          </w:p>
        </w:tc>
        <w:tc>
          <w:tcPr>
            <w:tcW w:w="498" w:type="dxa"/>
            <w:vAlign w:val="center"/>
          </w:tcPr>
          <w:p w14:paraId="615C80B1">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25D2BEB5">
            <w:pPr>
              <w:pStyle w:val="20"/>
              <w:rPr>
                <w:rFonts w:ascii="宋体" w:hAnsi="宋体" w:eastAsia="宋体" w:cs="宋体"/>
              </w:rPr>
            </w:pPr>
            <w:r>
              <w:rPr>
                <w:rFonts w:hint="eastAsia" w:ascii="宋体" w:hAnsi="宋体" w:eastAsia="宋体" w:cs="宋体"/>
              </w:rPr>
              <w:t>4千兆光口，4万兆光口，35000IP授权</w:t>
            </w:r>
          </w:p>
        </w:tc>
        <w:tc>
          <w:tcPr>
            <w:tcW w:w="1134" w:type="dxa"/>
            <w:vAlign w:val="center"/>
          </w:tcPr>
          <w:p w14:paraId="7F7EC8E8">
            <w:pPr>
              <w:pStyle w:val="20"/>
              <w:jc w:val="center"/>
              <w:rPr>
                <w:rFonts w:ascii="宋体" w:hAnsi="宋体" w:eastAsia="宋体" w:cs="宋体"/>
              </w:rPr>
            </w:pPr>
            <w:r>
              <w:rPr>
                <w:rFonts w:hint="eastAsia" w:ascii="宋体" w:hAnsi="宋体" w:eastAsia="宋体" w:cs="宋体"/>
              </w:rPr>
              <w:t>2023年上线，1年</w:t>
            </w:r>
          </w:p>
        </w:tc>
        <w:tc>
          <w:tcPr>
            <w:tcW w:w="692" w:type="dxa"/>
            <w:vAlign w:val="center"/>
          </w:tcPr>
          <w:p w14:paraId="45F9CBC9">
            <w:pPr>
              <w:jc w:val="center"/>
              <w:rPr>
                <w:rFonts w:ascii="宋体" w:hAnsi="宋体" w:eastAsia="宋体" w:cs="宋体"/>
              </w:rPr>
            </w:pPr>
            <w:r>
              <w:rPr>
                <w:rFonts w:hint="eastAsia" w:ascii="宋体" w:hAnsi="宋体" w:eastAsia="宋体" w:cs="宋体"/>
              </w:rPr>
              <w:t>利旧</w:t>
            </w:r>
          </w:p>
        </w:tc>
      </w:tr>
      <w:tr w14:paraId="3BBB9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2321656A">
            <w:pPr>
              <w:pStyle w:val="20"/>
              <w:jc w:val="center"/>
              <w:rPr>
                <w:rFonts w:ascii="宋体" w:hAnsi="宋体" w:eastAsia="宋体" w:cs="宋体"/>
              </w:rPr>
            </w:pPr>
            <w:r>
              <w:rPr>
                <w:rFonts w:hint="eastAsia" w:ascii="宋体" w:hAnsi="宋体" w:eastAsia="宋体" w:cs="宋体"/>
              </w:rPr>
              <w:t>电信出口路由</w:t>
            </w:r>
            <w:r>
              <w:rPr>
                <w:rFonts w:hint="eastAsia" w:ascii="宋体" w:hAnsi="宋体" w:eastAsia="宋体" w:cs="宋体"/>
                <w:spacing w:val="-10"/>
              </w:rPr>
              <w:t>器</w:t>
            </w:r>
          </w:p>
        </w:tc>
        <w:tc>
          <w:tcPr>
            <w:tcW w:w="1403" w:type="dxa"/>
            <w:vAlign w:val="center"/>
          </w:tcPr>
          <w:p w14:paraId="389C655E">
            <w:pPr>
              <w:pStyle w:val="20"/>
              <w:jc w:val="center"/>
              <w:rPr>
                <w:rFonts w:ascii="宋体" w:hAnsi="宋体" w:eastAsia="宋体" w:cs="宋体"/>
              </w:rPr>
            </w:pPr>
            <w:r>
              <w:rPr>
                <w:rFonts w:hint="eastAsia" w:ascii="宋体" w:hAnsi="宋体" w:eastAsia="宋体" w:cs="宋体"/>
              </w:rPr>
              <w:t xml:space="preserve">DPX8000-A5- </w:t>
            </w:r>
            <w:r>
              <w:rPr>
                <w:rFonts w:hint="eastAsia" w:ascii="宋体" w:hAnsi="宋体" w:eastAsia="宋体" w:cs="宋体"/>
                <w:spacing w:val="-10"/>
              </w:rPr>
              <w:t>X</w:t>
            </w:r>
          </w:p>
        </w:tc>
        <w:tc>
          <w:tcPr>
            <w:tcW w:w="1163" w:type="dxa"/>
            <w:vAlign w:val="center"/>
          </w:tcPr>
          <w:p w14:paraId="6D6D760B">
            <w:pPr>
              <w:pStyle w:val="20"/>
              <w:jc w:val="center"/>
              <w:rPr>
                <w:rFonts w:ascii="宋体" w:hAnsi="宋体" w:eastAsia="宋体" w:cs="宋体"/>
              </w:rPr>
            </w:pPr>
            <w:r>
              <w:rPr>
                <w:rFonts w:hint="eastAsia" w:ascii="宋体" w:hAnsi="宋体" w:eastAsia="宋体" w:cs="宋体"/>
              </w:rPr>
              <w:t>迪普</w:t>
            </w:r>
          </w:p>
        </w:tc>
        <w:tc>
          <w:tcPr>
            <w:tcW w:w="498" w:type="dxa"/>
            <w:vAlign w:val="center"/>
          </w:tcPr>
          <w:p w14:paraId="2DC76E9E">
            <w:pPr>
              <w:pStyle w:val="20"/>
              <w:jc w:val="center"/>
              <w:rPr>
                <w:rFonts w:ascii="宋体" w:hAnsi="宋体" w:eastAsia="宋体" w:cs="宋体"/>
              </w:rPr>
            </w:pPr>
          </w:p>
          <w:p w14:paraId="6E5AC99E">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4C06B0B6">
            <w:pPr>
              <w:pStyle w:val="20"/>
              <w:rPr>
                <w:rFonts w:ascii="宋体" w:hAnsi="宋体" w:eastAsia="宋体" w:cs="宋体"/>
              </w:rPr>
            </w:pPr>
            <w:r>
              <w:rPr>
                <w:rFonts w:hint="eastAsia" w:ascii="宋体" w:hAnsi="宋体" w:eastAsia="宋体" w:cs="宋体"/>
                <w:spacing w:val="-9"/>
              </w:rPr>
              <w:t xml:space="preserve">交换容量 </w:t>
            </w:r>
            <w:r>
              <w:rPr>
                <w:rFonts w:hint="eastAsia" w:ascii="宋体" w:hAnsi="宋体" w:eastAsia="宋体" w:cs="宋体"/>
              </w:rPr>
              <w:t>57Tbps，2</w:t>
            </w:r>
            <w:r>
              <w:rPr>
                <w:rFonts w:hint="eastAsia" w:ascii="宋体" w:hAnsi="宋体" w:eastAsia="宋体" w:cs="宋体"/>
                <w:spacing w:val="-6"/>
              </w:rPr>
              <w:t>个主控槽位，2</w:t>
            </w:r>
            <w:r>
              <w:rPr>
                <w:rFonts w:hint="eastAsia" w:ascii="宋体" w:hAnsi="宋体" w:eastAsia="宋体" w:cs="宋体"/>
                <w:spacing w:val="-11"/>
              </w:rPr>
              <w:t xml:space="preserve"> 个交换网板槽位</w:t>
            </w:r>
            <w:r>
              <w:rPr>
                <w:rFonts w:hint="eastAsia" w:ascii="宋体" w:hAnsi="宋体" w:eastAsia="宋体" w:cs="宋体"/>
                <w:spacing w:val="-6"/>
              </w:rPr>
              <w:t>，5</w:t>
            </w:r>
            <w:r>
              <w:rPr>
                <w:rFonts w:hint="eastAsia" w:ascii="宋体" w:hAnsi="宋体" w:eastAsia="宋体" w:cs="宋体"/>
                <w:spacing w:val="-15"/>
              </w:rPr>
              <w:t xml:space="preserve"> 个</w:t>
            </w:r>
            <w:r>
              <w:rPr>
                <w:rFonts w:hint="eastAsia" w:ascii="宋体" w:hAnsi="宋体" w:eastAsia="宋体" w:cs="宋体"/>
              </w:rPr>
              <w:t>业务槽位</w:t>
            </w:r>
          </w:p>
        </w:tc>
        <w:tc>
          <w:tcPr>
            <w:tcW w:w="1134" w:type="dxa"/>
            <w:vAlign w:val="center"/>
          </w:tcPr>
          <w:p w14:paraId="6C9D9CBC">
            <w:pPr>
              <w:pStyle w:val="20"/>
              <w:jc w:val="center"/>
              <w:rPr>
                <w:rFonts w:ascii="宋体" w:hAnsi="宋体" w:eastAsia="宋体" w:cs="宋体"/>
              </w:rPr>
            </w:pPr>
            <w:r>
              <w:rPr>
                <w:rFonts w:hint="eastAsia" w:ascii="宋体" w:hAnsi="宋体" w:eastAsia="宋体" w:cs="宋体"/>
              </w:rPr>
              <w:t>2017年上线，7年</w:t>
            </w:r>
          </w:p>
        </w:tc>
        <w:tc>
          <w:tcPr>
            <w:tcW w:w="692" w:type="dxa"/>
            <w:vAlign w:val="center"/>
          </w:tcPr>
          <w:p w14:paraId="1ED4A732">
            <w:pPr>
              <w:jc w:val="center"/>
              <w:rPr>
                <w:rFonts w:ascii="宋体" w:hAnsi="宋体" w:eastAsia="宋体" w:cs="宋体"/>
              </w:rPr>
            </w:pPr>
            <w:r>
              <w:rPr>
                <w:rFonts w:hint="eastAsia" w:ascii="宋体" w:hAnsi="宋体" w:eastAsia="宋体" w:cs="宋体"/>
              </w:rPr>
              <w:t>利旧</w:t>
            </w:r>
          </w:p>
        </w:tc>
      </w:tr>
      <w:tr w14:paraId="060EF9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72D73B4A">
            <w:pPr>
              <w:pStyle w:val="20"/>
              <w:jc w:val="center"/>
              <w:rPr>
                <w:rFonts w:ascii="宋体" w:hAnsi="宋体" w:eastAsia="宋体" w:cs="宋体"/>
              </w:rPr>
            </w:pPr>
            <w:r>
              <w:rPr>
                <w:rFonts w:hint="eastAsia" w:ascii="宋体" w:hAnsi="宋体" w:eastAsia="宋体" w:cs="宋体"/>
              </w:rPr>
              <w:t>移动出口路由</w:t>
            </w:r>
            <w:r>
              <w:rPr>
                <w:rFonts w:hint="eastAsia" w:ascii="宋体" w:hAnsi="宋体" w:eastAsia="宋体" w:cs="宋体"/>
                <w:spacing w:val="-10"/>
              </w:rPr>
              <w:t>器</w:t>
            </w:r>
          </w:p>
        </w:tc>
        <w:tc>
          <w:tcPr>
            <w:tcW w:w="1403" w:type="dxa"/>
            <w:vAlign w:val="center"/>
          </w:tcPr>
          <w:p w14:paraId="4A02FF32">
            <w:pPr>
              <w:pStyle w:val="20"/>
              <w:jc w:val="center"/>
              <w:rPr>
                <w:rFonts w:ascii="宋体" w:hAnsi="宋体" w:eastAsia="宋体" w:cs="宋体"/>
              </w:rPr>
            </w:pPr>
            <w:r>
              <w:rPr>
                <w:rFonts w:hint="eastAsia" w:ascii="宋体" w:hAnsi="宋体" w:eastAsia="宋体" w:cs="宋体"/>
              </w:rPr>
              <w:t>RG-EG3000XE</w:t>
            </w:r>
          </w:p>
        </w:tc>
        <w:tc>
          <w:tcPr>
            <w:tcW w:w="1163" w:type="dxa"/>
            <w:vAlign w:val="center"/>
          </w:tcPr>
          <w:p w14:paraId="6B758C21">
            <w:pPr>
              <w:pStyle w:val="20"/>
              <w:jc w:val="center"/>
              <w:rPr>
                <w:rFonts w:ascii="宋体" w:hAnsi="宋体" w:eastAsia="宋体" w:cs="宋体"/>
              </w:rPr>
            </w:pPr>
            <w:r>
              <w:rPr>
                <w:rFonts w:hint="eastAsia" w:ascii="宋体" w:hAnsi="宋体" w:eastAsia="宋体" w:cs="宋体"/>
              </w:rPr>
              <w:t>锐捷</w:t>
            </w:r>
          </w:p>
        </w:tc>
        <w:tc>
          <w:tcPr>
            <w:tcW w:w="498" w:type="dxa"/>
            <w:vAlign w:val="center"/>
          </w:tcPr>
          <w:p w14:paraId="758CB3C1">
            <w:pPr>
              <w:pStyle w:val="20"/>
              <w:jc w:val="center"/>
              <w:rPr>
                <w:rFonts w:ascii="宋体" w:hAnsi="宋体" w:eastAsia="宋体" w:cs="宋体"/>
              </w:rPr>
            </w:pPr>
          </w:p>
          <w:p w14:paraId="0D496837">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4EAA8331">
            <w:pPr>
              <w:pStyle w:val="20"/>
              <w:rPr>
                <w:rFonts w:ascii="宋体" w:hAnsi="宋体" w:eastAsia="宋体" w:cs="宋体"/>
              </w:rPr>
            </w:pPr>
            <w:r>
              <w:rPr>
                <w:rFonts w:hint="eastAsia" w:ascii="宋体" w:hAnsi="宋体" w:eastAsia="宋体" w:cs="宋体"/>
              </w:rPr>
              <w:t>2</w:t>
            </w:r>
            <w:r>
              <w:rPr>
                <w:rFonts w:hint="eastAsia" w:ascii="宋体" w:hAnsi="宋体" w:eastAsia="宋体" w:cs="宋体"/>
                <w:spacing w:val="-40"/>
              </w:rPr>
              <w:t xml:space="preserve"> 个 </w:t>
            </w:r>
            <w:r>
              <w:rPr>
                <w:rFonts w:hint="eastAsia" w:ascii="宋体" w:hAnsi="宋体" w:eastAsia="宋体" w:cs="宋体"/>
              </w:rPr>
              <w:t>40G</w:t>
            </w:r>
            <w:r>
              <w:rPr>
                <w:rFonts w:hint="eastAsia" w:ascii="宋体" w:hAnsi="宋体" w:eastAsia="宋体" w:cs="宋体"/>
                <w:spacing w:val="-20"/>
              </w:rPr>
              <w:t xml:space="preserve"> 光口</w:t>
            </w:r>
            <w:r>
              <w:rPr>
                <w:rFonts w:hint="eastAsia" w:ascii="宋体" w:hAnsi="宋体" w:eastAsia="宋体" w:cs="宋体"/>
              </w:rPr>
              <w:t>，8 个万兆光口，带机数</w:t>
            </w:r>
            <w:r>
              <w:rPr>
                <w:rFonts w:hint="eastAsia" w:ascii="宋体" w:hAnsi="宋体" w:eastAsia="宋体" w:cs="宋体"/>
                <w:spacing w:val="-2"/>
              </w:rPr>
              <w:t>30000</w:t>
            </w:r>
          </w:p>
        </w:tc>
        <w:tc>
          <w:tcPr>
            <w:tcW w:w="1134" w:type="dxa"/>
            <w:vAlign w:val="center"/>
          </w:tcPr>
          <w:p w14:paraId="19676BF3">
            <w:pPr>
              <w:pStyle w:val="20"/>
              <w:jc w:val="center"/>
              <w:rPr>
                <w:rFonts w:ascii="宋体" w:hAnsi="宋体" w:eastAsia="宋体" w:cs="宋体"/>
              </w:rPr>
            </w:pPr>
            <w:r>
              <w:rPr>
                <w:rFonts w:hint="eastAsia" w:ascii="宋体" w:hAnsi="宋体" w:eastAsia="宋体" w:cs="宋体"/>
              </w:rPr>
              <w:t>2017</w:t>
            </w:r>
            <w:r>
              <w:rPr>
                <w:rFonts w:hint="eastAsia" w:ascii="宋体" w:hAnsi="宋体" w:eastAsia="宋体" w:cs="宋体"/>
                <w:spacing w:val="-24"/>
              </w:rPr>
              <w:t xml:space="preserve"> 年上</w:t>
            </w:r>
          </w:p>
          <w:p w14:paraId="6EBC9729">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10"/>
              </w:rPr>
              <w:t>6</w:t>
            </w:r>
            <w:r>
              <w:rPr>
                <w:rFonts w:hint="eastAsia" w:ascii="宋体" w:hAnsi="宋体" w:eastAsia="宋体" w:cs="宋体"/>
              </w:rPr>
              <w:t>年</w:t>
            </w:r>
          </w:p>
        </w:tc>
        <w:tc>
          <w:tcPr>
            <w:tcW w:w="692" w:type="dxa"/>
            <w:vAlign w:val="center"/>
          </w:tcPr>
          <w:p w14:paraId="58399C30">
            <w:pPr>
              <w:jc w:val="center"/>
              <w:rPr>
                <w:rFonts w:ascii="宋体" w:hAnsi="宋体" w:eastAsia="宋体" w:cs="宋体"/>
              </w:rPr>
            </w:pPr>
            <w:r>
              <w:rPr>
                <w:rFonts w:hint="eastAsia" w:ascii="宋体" w:hAnsi="宋体" w:eastAsia="宋体" w:cs="宋体"/>
              </w:rPr>
              <w:t>淘汰</w:t>
            </w:r>
          </w:p>
        </w:tc>
      </w:tr>
      <w:tr w14:paraId="1FC8D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2BCE1705">
            <w:pPr>
              <w:pStyle w:val="20"/>
              <w:jc w:val="center"/>
              <w:rPr>
                <w:rFonts w:ascii="宋体" w:hAnsi="宋体" w:eastAsia="宋体" w:cs="宋体"/>
              </w:rPr>
            </w:pPr>
            <w:r>
              <w:rPr>
                <w:rFonts w:hint="eastAsia" w:ascii="宋体" w:hAnsi="宋体" w:eastAsia="宋体" w:cs="宋体"/>
              </w:rPr>
              <w:t>联通出口路由</w:t>
            </w:r>
            <w:r>
              <w:rPr>
                <w:rFonts w:hint="eastAsia" w:ascii="宋体" w:hAnsi="宋体" w:eastAsia="宋体" w:cs="宋体"/>
                <w:spacing w:val="-10"/>
              </w:rPr>
              <w:t>器1</w:t>
            </w:r>
          </w:p>
        </w:tc>
        <w:tc>
          <w:tcPr>
            <w:tcW w:w="1403" w:type="dxa"/>
            <w:vAlign w:val="center"/>
          </w:tcPr>
          <w:p w14:paraId="275EFE03">
            <w:pPr>
              <w:pStyle w:val="20"/>
              <w:jc w:val="center"/>
              <w:rPr>
                <w:rFonts w:ascii="宋体" w:hAnsi="宋体" w:eastAsia="宋体" w:cs="宋体"/>
              </w:rPr>
            </w:pPr>
            <w:r>
              <w:rPr>
                <w:rFonts w:hint="eastAsia" w:ascii="宋体" w:hAnsi="宋体" w:eastAsia="宋体" w:cs="宋体"/>
              </w:rPr>
              <w:t>RG-EG3000XE</w:t>
            </w:r>
          </w:p>
        </w:tc>
        <w:tc>
          <w:tcPr>
            <w:tcW w:w="1163" w:type="dxa"/>
            <w:vAlign w:val="center"/>
          </w:tcPr>
          <w:p w14:paraId="2E4C2E8A">
            <w:pPr>
              <w:pStyle w:val="20"/>
              <w:jc w:val="center"/>
              <w:rPr>
                <w:rFonts w:ascii="宋体" w:hAnsi="宋体" w:eastAsia="宋体" w:cs="宋体"/>
              </w:rPr>
            </w:pPr>
            <w:r>
              <w:rPr>
                <w:rFonts w:hint="eastAsia" w:ascii="宋体" w:hAnsi="宋体" w:eastAsia="宋体" w:cs="宋体"/>
              </w:rPr>
              <w:t>锐捷</w:t>
            </w:r>
          </w:p>
        </w:tc>
        <w:tc>
          <w:tcPr>
            <w:tcW w:w="498" w:type="dxa"/>
            <w:vAlign w:val="center"/>
          </w:tcPr>
          <w:p w14:paraId="0C46E293">
            <w:pPr>
              <w:pStyle w:val="20"/>
              <w:jc w:val="center"/>
              <w:rPr>
                <w:rFonts w:ascii="宋体" w:hAnsi="宋体" w:eastAsia="宋体" w:cs="宋体"/>
              </w:rPr>
            </w:pPr>
          </w:p>
          <w:p w14:paraId="6753384A">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363C542D">
            <w:pPr>
              <w:pStyle w:val="20"/>
              <w:rPr>
                <w:rFonts w:ascii="宋体" w:hAnsi="宋体" w:eastAsia="宋体" w:cs="宋体"/>
              </w:rPr>
            </w:pPr>
            <w:r>
              <w:rPr>
                <w:rFonts w:hint="eastAsia" w:ascii="宋体" w:hAnsi="宋体" w:eastAsia="宋体" w:cs="宋体"/>
              </w:rPr>
              <w:t>2</w:t>
            </w:r>
            <w:r>
              <w:rPr>
                <w:rFonts w:hint="eastAsia" w:ascii="宋体" w:hAnsi="宋体" w:eastAsia="宋体" w:cs="宋体"/>
                <w:spacing w:val="-40"/>
              </w:rPr>
              <w:t xml:space="preserve"> 个 </w:t>
            </w:r>
            <w:r>
              <w:rPr>
                <w:rFonts w:hint="eastAsia" w:ascii="宋体" w:hAnsi="宋体" w:eastAsia="宋体" w:cs="宋体"/>
              </w:rPr>
              <w:t>40G</w:t>
            </w:r>
            <w:r>
              <w:rPr>
                <w:rFonts w:hint="eastAsia" w:ascii="宋体" w:hAnsi="宋体" w:eastAsia="宋体" w:cs="宋体"/>
                <w:spacing w:val="-20"/>
              </w:rPr>
              <w:t xml:space="preserve"> 光口</w:t>
            </w:r>
            <w:r>
              <w:rPr>
                <w:rFonts w:hint="eastAsia" w:ascii="宋体" w:hAnsi="宋体" w:eastAsia="宋体" w:cs="宋体"/>
              </w:rPr>
              <w:t>，8 个万兆光口，带机数</w:t>
            </w:r>
            <w:r>
              <w:rPr>
                <w:rFonts w:hint="eastAsia" w:ascii="宋体" w:hAnsi="宋体" w:eastAsia="宋体" w:cs="宋体"/>
                <w:spacing w:val="-2"/>
              </w:rPr>
              <w:t>30000</w:t>
            </w:r>
          </w:p>
        </w:tc>
        <w:tc>
          <w:tcPr>
            <w:tcW w:w="1134" w:type="dxa"/>
            <w:vAlign w:val="center"/>
          </w:tcPr>
          <w:p w14:paraId="47D687F5">
            <w:pPr>
              <w:pStyle w:val="20"/>
              <w:jc w:val="center"/>
              <w:rPr>
                <w:rFonts w:ascii="宋体" w:hAnsi="宋体" w:eastAsia="宋体" w:cs="宋体"/>
              </w:rPr>
            </w:pPr>
            <w:r>
              <w:rPr>
                <w:rFonts w:hint="eastAsia" w:ascii="宋体" w:hAnsi="宋体" w:eastAsia="宋体" w:cs="宋体"/>
              </w:rPr>
              <w:t>2017</w:t>
            </w:r>
            <w:r>
              <w:rPr>
                <w:rFonts w:hint="eastAsia" w:ascii="宋体" w:hAnsi="宋体" w:eastAsia="宋体" w:cs="宋体"/>
                <w:spacing w:val="-24"/>
              </w:rPr>
              <w:t xml:space="preserve"> 年上</w:t>
            </w:r>
          </w:p>
          <w:p w14:paraId="01E63663">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10"/>
              </w:rPr>
              <w:t>6</w:t>
            </w:r>
            <w:r>
              <w:rPr>
                <w:rFonts w:hint="eastAsia" w:ascii="宋体" w:hAnsi="宋体" w:eastAsia="宋体" w:cs="宋体"/>
              </w:rPr>
              <w:t>年</w:t>
            </w:r>
          </w:p>
        </w:tc>
        <w:tc>
          <w:tcPr>
            <w:tcW w:w="692" w:type="dxa"/>
            <w:vAlign w:val="center"/>
          </w:tcPr>
          <w:p w14:paraId="17038C29">
            <w:pPr>
              <w:jc w:val="center"/>
              <w:rPr>
                <w:rFonts w:ascii="宋体" w:hAnsi="宋体" w:eastAsia="宋体" w:cs="宋体"/>
              </w:rPr>
            </w:pPr>
            <w:r>
              <w:rPr>
                <w:rFonts w:hint="eastAsia" w:ascii="宋体" w:hAnsi="宋体" w:eastAsia="宋体" w:cs="宋体"/>
              </w:rPr>
              <w:t>淘汰</w:t>
            </w:r>
          </w:p>
        </w:tc>
      </w:tr>
      <w:tr w14:paraId="2903C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6B71F523">
            <w:pPr>
              <w:pStyle w:val="20"/>
              <w:jc w:val="center"/>
              <w:rPr>
                <w:rFonts w:ascii="宋体" w:hAnsi="宋体" w:eastAsia="宋体" w:cs="宋体"/>
              </w:rPr>
            </w:pPr>
            <w:r>
              <w:rPr>
                <w:rFonts w:hint="eastAsia" w:ascii="宋体" w:hAnsi="宋体" w:eastAsia="宋体" w:cs="宋体"/>
              </w:rPr>
              <w:t>逸夫楼</w:t>
            </w:r>
            <w:r>
              <w:rPr>
                <w:rFonts w:hint="eastAsia" w:ascii="宋体" w:hAnsi="宋体" w:eastAsia="宋体" w:cs="宋体"/>
                <w:spacing w:val="-6"/>
              </w:rPr>
              <w:t>汇聚</w:t>
            </w:r>
          </w:p>
        </w:tc>
        <w:tc>
          <w:tcPr>
            <w:tcW w:w="1403" w:type="dxa"/>
            <w:vAlign w:val="center"/>
          </w:tcPr>
          <w:p w14:paraId="67569F83">
            <w:pPr>
              <w:pStyle w:val="20"/>
              <w:jc w:val="center"/>
              <w:rPr>
                <w:rFonts w:ascii="宋体" w:hAnsi="宋体" w:eastAsia="宋体" w:cs="宋体"/>
              </w:rPr>
            </w:pPr>
            <w:r>
              <w:rPr>
                <w:rFonts w:hint="eastAsia" w:ascii="宋体" w:hAnsi="宋体" w:eastAsia="宋体" w:cs="宋体"/>
              </w:rPr>
              <w:t>CN12904</w:t>
            </w:r>
          </w:p>
        </w:tc>
        <w:tc>
          <w:tcPr>
            <w:tcW w:w="1163" w:type="dxa"/>
            <w:vAlign w:val="center"/>
          </w:tcPr>
          <w:p w14:paraId="3A55FD17">
            <w:pPr>
              <w:pStyle w:val="20"/>
              <w:jc w:val="center"/>
              <w:rPr>
                <w:rFonts w:ascii="宋体" w:hAnsi="宋体" w:eastAsia="宋体" w:cs="宋体"/>
              </w:rPr>
            </w:pPr>
            <w:r>
              <w:rPr>
                <w:rFonts w:hint="eastAsia" w:ascii="宋体" w:hAnsi="宋体" w:eastAsia="宋体" w:cs="宋体"/>
              </w:rPr>
              <w:t>浪思</w:t>
            </w:r>
          </w:p>
        </w:tc>
        <w:tc>
          <w:tcPr>
            <w:tcW w:w="498" w:type="dxa"/>
            <w:vAlign w:val="center"/>
          </w:tcPr>
          <w:p w14:paraId="59BA032F">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40381FCC">
            <w:pPr>
              <w:pStyle w:val="20"/>
              <w:rPr>
                <w:rFonts w:ascii="宋体" w:hAnsi="宋体" w:eastAsia="宋体" w:cs="宋体"/>
              </w:rPr>
            </w:pPr>
            <w:r>
              <w:rPr>
                <w:rFonts w:hint="eastAsia" w:ascii="宋体" w:hAnsi="宋体" w:eastAsia="宋体" w:cs="宋体"/>
                <w:spacing w:val="-2"/>
              </w:rPr>
              <w:t>2</w:t>
            </w:r>
            <w:r>
              <w:rPr>
                <w:rFonts w:hint="eastAsia" w:ascii="宋体" w:hAnsi="宋体" w:eastAsia="宋体" w:cs="宋体"/>
              </w:rPr>
              <w:t xml:space="preserve"> 个主控槽位</w:t>
            </w:r>
            <w:r>
              <w:rPr>
                <w:rFonts w:hint="eastAsia" w:ascii="宋体" w:hAnsi="宋体" w:eastAsia="宋体" w:cs="宋体"/>
                <w:spacing w:val="-2"/>
              </w:rPr>
              <w:t>，4</w:t>
            </w:r>
            <w:r>
              <w:rPr>
                <w:rFonts w:hint="eastAsia" w:ascii="宋体" w:hAnsi="宋体" w:eastAsia="宋体" w:cs="宋体"/>
              </w:rPr>
              <w:t xml:space="preserve"> 个业务槽位</w:t>
            </w:r>
            <w:r>
              <w:rPr>
                <w:rFonts w:hint="eastAsia" w:ascii="宋体" w:hAnsi="宋体" w:eastAsia="宋体" w:cs="宋体"/>
                <w:spacing w:val="-2"/>
              </w:rPr>
              <w:t>，4</w:t>
            </w:r>
            <w:r>
              <w:rPr>
                <w:rFonts w:hint="eastAsia" w:ascii="宋体" w:hAnsi="宋体" w:eastAsia="宋体" w:cs="宋体"/>
                <w:spacing w:val="-22"/>
              </w:rPr>
              <w:t xml:space="preserve"> 个模</w:t>
            </w:r>
            <w:r>
              <w:rPr>
                <w:rFonts w:hint="eastAsia" w:ascii="宋体" w:hAnsi="宋体" w:eastAsia="宋体" w:cs="宋体"/>
                <w:spacing w:val="-2"/>
              </w:rPr>
              <w:t>块化电源槽位</w:t>
            </w:r>
          </w:p>
        </w:tc>
        <w:tc>
          <w:tcPr>
            <w:tcW w:w="1134" w:type="dxa"/>
            <w:vAlign w:val="center"/>
          </w:tcPr>
          <w:p w14:paraId="70FC092D">
            <w:pPr>
              <w:pStyle w:val="20"/>
              <w:jc w:val="center"/>
              <w:rPr>
                <w:rFonts w:ascii="宋体" w:hAnsi="宋体" w:eastAsia="宋体" w:cs="宋体"/>
              </w:rPr>
            </w:pPr>
            <w:r>
              <w:rPr>
                <w:rFonts w:hint="eastAsia" w:ascii="宋体" w:hAnsi="宋体" w:eastAsia="宋体" w:cs="宋体"/>
              </w:rPr>
              <w:t>2019年上线，5年</w:t>
            </w:r>
          </w:p>
        </w:tc>
        <w:tc>
          <w:tcPr>
            <w:tcW w:w="692" w:type="dxa"/>
            <w:vAlign w:val="center"/>
          </w:tcPr>
          <w:p w14:paraId="455A9F95">
            <w:pPr>
              <w:jc w:val="center"/>
              <w:rPr>
                <w:rFonts w:ascii="宋体" w:hAnsi="宋体" w:eastAsia="宋体" w:cs="宋体"/>
              </w:rPr>
            </w:pPr>
            <w:r>
              <w:rPr>
                <w:rFonts w:hint="eastAsia" w:ascii="宋体" w:hAnsi="宋体" w:eastAsia="宋体" w:cs="宋体"/>
              </w:rPr>
              <w:t>利旧</w:t>
            </w:r>
          </w:p>
        </w:tc>
      </w:tr>
      <w:tr w14:paraId="56C52E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8632C38">
            <w:pPr>
              <w:pStyle w:val="20"/>
              <w:jc w:val="center"/>
              <w:rPr>
                <w:rFonts w:ascii="宋体" w:hAnsi="宋体" w:eastAsia="宋体" w:cs="宋体"/>
              </w:rPr>
            </w:pPr>
          </w:p>
          <w:p w14:paraId="4A8CAF3A">
            <w:pPr>
              <w:pStyle w:val="20"/>
              <w:jc w:val="center"/>
              <w:rPr>
                <w:rFonts w:ascii="宋体" w:hAnsi="宋体" w:eastAsia="宋体" w:cs="宋体"/>
              </w:rPr>
            </w:pPr>
            <w:r>
              <w:rPr>
                <w:rFonts w:hint="eastAsia" w:ascii="宋体" w:hAnsi="宋体" w:eastAsia="宋体" w:cs="宋体"/>
              </w:rPr>
              <w:t>科技楼</w:t>
            </w:r>
            <w:r>
              <w:rPr>
                <w:rFonts w:hint="eastAsia" w:ascii="宋体" w:hAnsi="宋体" w:eastAsia="宋体" w:cs="宋体"/>
                <w:spacing w:val="-6"/>
              </w:rPr>
              <w:t>汇聚</w:t>
            </w:r>
          </w:p>
        </w:tc>
        <w:tc>
          <w:tcPr>
            <w:tcW w:w="1403" w:type="dxa"/>
            <w:vAlign w:val="center"/>
          </w:tcPr>
          <w:p w14:paraId="2A0A3FF5">
            <w:pPr>
              <w:pStyle w:val="20"/>
              <w:jc w:val="center"/>
              <w:rPr>
                <w:rFonts w:ascii="宋体" w:hAnsi="宋体" w:eastAsia="宋体" w:cs="宋体"/>
              </w:rPr>
            </w:pPr>
            <w:r>
              <w:rPr>
                <w:rFonts w:hint="eastAsia" w:ascii="宋体" w:hAnsi="宋体" w:eastAsia="宋体" w:cs="宋体"/>
              </w:rPr>
              <w:t>RG-N18010</w:t>
            </w:r>
          </w:p>
        </w:tc>
        <w:tc>
          <w:tcPr>
            <w:tcW w:w="1163" w:type="dxa"/>
            <w:vAlign w:val="center"/>
          </w:tcPr>
          <w:p w14:paraId="1B8FF642">
            <w:pPr>
              <w:pStyle w:val="20"/>
              <w:jc w:val="center"/>
              <w:rPr>
                <w:rFonts w:ascii="宋体" w:hAnsi="宋体" w:eastAsia="宋体" w:cs="宋体"/>
              </w:rPr>
            </w:pPr>
            <w:r>
              <w:rPr>
                <w:rFonts w:hint="eastAsia" w:ascii="宋体" w:hAnsi="宋体" w:eastAsia="宋体" w:cs="宋体"/>
              </w:rPr>
              <w:t>锐捷</w:t>
            </w:r>
          </w:p>
        </w:tc>
        <w:tc>
          <w:tcPr>
            <w:tcW w:w="498" w:type="dxa"/>
            <w:vAlign w:val="center"/>
          </w:tcPr>
          <w:p w14:paraId="42CE9FF0">
            <w:pPr>
              <w:pStyle w:val="20"/>
              <w:jc w:val="center"/>
              <w:rPr>
                <w:rFonts w:ascii="宋体" w:hAnsi="宋体" w:eastAsia="宋体" w:cs="宋体"/>
              </w:rPr>
            </w:pPr>
          </w:p>
          <w:p w14:paraId="42F59C04">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443F6BCF">
            <w:pPr>
              <w:pStyle w:val="20"/>
              <w:rPr>
                <w:rFonts w:ascii="宋体" w:hAnsi="宋体" w:eastAsia="宋体" w:cs="宋体"/>
              </w:rPr>
            </w:pPr>
            <w:r>
              <w:rPr>
                <w:rFonts w:hint="eastAsia" w:ascii="宋体" w:hAnsi="宋体" w:eastAsia="宋体" w:cs="宋体"/>
                <w:spacing w:val="-13"/>
              </w:rPr>
              <w:t xml:space="preserve">交换容量 </w:t>
            </w:r>
            <w:r>
              <w:rPr>
                <w:rFonts w:hint="eastAsia" w:ascii="宋体" w:hAnsi="宋体" w:eastAsia="宋体" w:cs="宋体"/>
                <w:spacing w:val="-2"/>
              </w:rPr>
              <w:t>521Tbps，</w:t>
            </w:r>
            <w:r>
              <w:rPr>
                <w:rFonts w:hint="eastAsia" w:ascii="宋体" w:hAnsi="宋体" w:eastAsia="宋体" w:cs="宋体"/>
              </w:rPr>
              <w:t>2 个主控槽位，4 个交换网板槽位，8</w:t>
            </w:r>
            <w:r>
              <w:rPr>
                <w:rFonts w:hint="eastAsia" w:ascii="宋体" w:hAnsi="宋体" w:eastAsia="宋体" w:cs="宋体"/>
                <w:spacing w:val="-2"/>
              </w:rPr>
              <w:t>个业务槽位</w:t>
            </w:r>
          </w:p>
        </w:tc>
        <w:tc>
          <w:tcPr>
            <w:tcW w:w="1134" w:type="dxa"/>
            <w:vAlign w:val="center"/>
          </w:tcPr>
          <w:p w14:paraId="2CB3B1AE">
            <w:pPr>
              <w:pStyle w:val="20"/>
              <w:jc w:val="center"/>
              <w:rPr>
                <w:rFonts w:ascii="宋体" w:hAnsi="宋体" w:eastAsia="宋体" w:cs="宋体"/>
              </w:rPr>
            </w:pPr>
            <w:r>
              <w:rPr>
                <w:rFonts w:hint="eastAsia" w:ascii="宋体" w:hAnsi="宋体" w:eastAsia="宋体" w:cs="宋体"/>
              </w:rPr>
              <w:t>2017</w:t>
            </w:r>
            <w:r>
              <w:rPr>
                <w:rFonts w:hint="eastAsia" w:ascii="宋体" w:hAnsi="宋体" w:eastAsia="宋体" w:cs="宋体"/>
                <w:spacing w:val="-24"/>
              </w:rPr>
              <w:t xml:space="preserve"> 年上</w:t>
            </w:r>
          </w:p>
          <w:p w14:paraId="3542393B">
            <w:pPr>
              <w:pStyle w:val="20"/>
              <w:jc w:val="center"/>
              <w:rPr>
                <w:rFonts w:ascii="宋体" w:hAnsi="宋体" w:eastAsia="宋体" w:cs="宋体"/>
              </w:rPr>
            </w:pPr>
            <w:r>
              <w:rPr>
                <w:rFonts w:hint="eastAsia" w:ascii="宋体" w:hAnsi="宋体" w:eastAsia="宋体" w:cs="宋体"/>
              </w:rPr>
              <w:t xml:space="preserve">线， </w:t>
            </w:r>
            <w:r>
              <w:rPr>
                <w:rFonts w:hint="eastAsia" w:ascii="宋体" w:hAnsi="宋体" w:eastAsia="宋体" w:cs="宋体"/>
                <w:spacing w:val="-10"/>
              </w:rPr>
              <w:t>6</w:t>
            </w:r>
            <w:r>
              <w:rPr>
                <w:rFonts w:hint="eastAsia" w:ascii="宋体" w:hAnsi="宋体" w:eastAsia="宋体" w:cs="宋体"/>
              </w:rPr>
              <w:t>年</w:t>
            </w:r>
          </w:p>
        </w:tc>
        <w:tc>
          <w:tcPr>
            <w:tcW w:w="692" w:type="dxa"/>
            <w:vAlign w:val="center"/>
          </w:tcPr>
          <w:p w14:paraId="0E62D2C2">
            <w:pPr>
              <w:jc w:val="center"/>
              <w:rPr>
                <w:rFonts w:ascii="宋体" w:hAnsi="宋体" w:eastAsia="宋体" w:cs="宋体"/>
              </w:rPr>
            </w:pPr>
            <w:r>
              <w:rPr>
                <w:rFonts w:hint="eastAsia" w:ascii="宋体" w:hAnsi="宋体" w:eastAsia="宋体" w:cs="宋体"/>
              </w:rPr>
              <w:t>利旧</w:t>
            </w:r>
          </w:p>
        </w:tc>
      </w:tr>
      <w:tr w14:paraId="08E02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1E67B156">
            <w:pPr>
              <w:pStyle w:val="20"/>
              <w:jc w:val="center"/>
              <w:rPr>
                <w:rFonts w:ascii="宋体" w:hAnsi="宋体" w:eastAsia="宋体" w:cs="宋体"/>
              </w:rPr>
            </w:pPr>
            <w:r>
              <w:rPr>
                <w:rFonts w:hint="eastAsia" w:ascii="宋体" w:hAnsi="宋体" w:eastAsia="宋体" w:cs="宋体"/>
              </w:rPr>
              <w:t>本科楼</w:t>
            </w:r>
            <w:r>
              <w:rPr>
                <w:rFonts w:hint="eastAsia" w:ascii="宋体" w:hAnsi="宋体" w:eastAsia="宋体" w:cs="宋体"/>
                <w:spacing w:val="-6"/>
              </w:rPr>
              <w:t>汇聚</w:t>
            </w:r>
          </w:p>
        </w:tc>
        <w:tc>
          <w:tcPr>
            <w:tcW w:w="1403" w:type="dxa"/>
            <w:vAlign w:val="center"/>
          </w:tcPr>
          <w:p w14:paraId="4135D044">
            <w:pPr>
              <w:pStyle w:val="20"/>
              <w:jc w:val="center"/>
              <w:rPr>
                <w:rFonts w:ascii="宋体" w:hAnsi="宋体" w:eastAsia="宋体" w:cs="宋体"/>
              </w:rPr>
            </w:pPr>
            <w:r>
              <w:rPr>
                <w:rFonts w:hint="eastAsia" w:ascii="宋体" w:hAnsi="宋体" w:eastAsia="宋体" w:cs="宋体"/>
              </w:rPr>
              <w:t>N7K-</w:t>
            </w:r>
            <w:r>
              <w:rPr>
                <w:rFonts w:hint="eastAsia" w:ascii="宋体" w:hAnsi="宋体" w:eastAsia="宋体" w:cs="宋体"/>
                <w:spacing w:val="-2"/>
              </w:rPr>
              <w:t>C7010</w:t>
            </w:r>
          </w:p>
        </w:tc>
        <w:tc>
          <w:tcPr>
            <w:tcW w:w="1163" w:type="dxa"/>
            <w:vAlign w:val="center"/>
          </w:tcPr>
          <w:p w14:paraId="5E1FD96A">
            <w:pPr>
              <w:pStyle w:val="20"/>
              <w:jc w:val="center"/>
              <w:rPr>
                <w:rFonts w:ascii="宋体" w:hAnsi="宋体" w:eastAsia="宋体" w:cs="宋体"/>
              </w:rPr>
            </w:pPr>
            <w:r>
              <w:rPr>
                <w:rFonts w:hint="eastAsia" w:ascii="宋体" w:hAnsi="宋体" w:eastAsia="宋体" w:cs="宋体"/>
              </w:rPr>
              <w:t>思科</w:t>
            </w:r>
          </w:p>
        </w:tc>
        <w:tc>
          <w:tcPr>
            <w:tcW w:w="498" w:type="dxa"/>
            <w:vAlign w:val="center"/>
          </w:tcPr>
          <w:p w14:paraId="7D951748">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38507CD3">
            <w:pPr>
              <w:pStyle w:val="20"/>
              <w:rPr>
                <w:rFonts w:ascii="宋体" w:hAnsi="宋体" w:eastAsia="宋体" w:cs="宋体"/>
              </w:rPr>
            </w:pPr>
            <w:r>
              <w:rPr>
                <w:rFonts w:hint="eastAsia" w:ascii="宋体" w:hAnsi="宋体" w:eastAsia="宋体" w:cs="宋体"/>
              </w:rPr>
              <w:t xml:space="preserve">交换容量 </w:t>
            </w:r>
            <w:r>
              <w:rPr>
                <w:rFonts w:hint="eastAsia" w:ascii="宋体" w:hAnsi="宋体" w:eastAsia="宋体" w:cs="宋体"/>
                <w:spacing w:val="-4"/>
              </w:rPr>
              <w:t>9.9</w:t>
            </w:r>
            <w:r>
              <w:rPr>
                <w:rFonts w:hint="eastAsia" w:ascii="宋体" w:hAnsi="宋体" w:eastAsia="宋体" w:cs="宋体"/>
                <w:spacing w:val="-25"/>
              </w:rPr>
              <w:t xml:space="preserve"> </w:t>
            </w:r>
            <w:r>
              <w:rPr>
                <w:rFonts w:hint="eastAsia" w:ascii="宋体" w:hAnsi="宋体" w:eastAsia="宋体" w:cs="宋体"/>
                <w:spacing w:val="-4"/>
              </w:rPr>
              <w:t>Tbps，2</w:t>
            </w:r>
            <w:r>
              <w:rPr>
                <w:rFonts w:hint="eastAsia" w:ascii="宋体" w:hAnsi="宋体" w:eastAsia="宋体" w:cs="宋体"/>
              </w:rPr>
              <w:t xml:space="preserve"> 个主控槽位，</w:t>
            </w:r>
            <w:r>
              <w:rPr>
                <w:rFonts w:hint="eastAsia" w:ascii="宋体" w:hAnsi="宋体" w:eastAsia="宋体" w:cs="宋体"/>
                <w:spacing w:val="-4"/>
              </w:rPr>
              <w:t>5</w:t>
            </w:r>
            <w:r>
              <w:rPr>
                <w:rFonts w:hint="eastAsia" w:ascii="宋体" w:hAnsi="宋体" w:eastAsia="宋体" w:cs="宋体"/>
                <w:spacing w:val="-6"/>
              </w:rPr>
              <w:t>个交换网板槽位，8</w:t>
            </w:r>
            <w:r>
              <w:rPr>
                <w:rFonts w:hint="eastAsia" w:ascii="宋体" w:hAnsi="宋体" w:eastAsia="宋体" w:cs="宋体"/>
                <w:spacing w:val="-11"/>
              </w:rPr>
              <w:t xml:space="preserve"> 个业务槽位</w:t>
            </w:r>
            <w:r>
              <w:rPr>
                <w:rFonts w:hint="eastAsia" w:ascii="宋体" w:hAnsi="宋体" w:eastAsia="宋体" w:cs="宋体"/>
                <w:spacing w:val="-6"/>
              </w:rPr>
              <w:t>，3</w:t>
            </w:r>
            <w:r>
              <w:rPr>
                <w:rFonts w:hint="eastAsia" w:ascii="宋体" w:hAnsi="宋体" w:eastAsia="宋体" w:cs="宋体"/>
                <w:spacing w:val="-15"/>
              </w:rPr>
              <w:t xml:space="preserve"> 个</w:t>
            </w:r>
            <w:r>
              <w:rPr>
                <w:rFonts w:hint="eastAsia" w:ascii="宋体" w:hAnsi="宋体" w:eastAsia="宋体" w:cs="宋体"/>
                <w:spacing w:val="-2"/>
              </w:rPr>
              <w:t>模块化电源槽位</w:t>
            </w:r>
          </w:p>
        </w:tc>
        <w:tc>
          <w:tcPr>
            <w:tcW w:w="1134" w:type="dxa"/>
            <w:vAlign w:val="center"/>
          </w:tcPr>
          <w:p w14:paraId="251C270E">
            <w:pPr>
              <w:pStyle w:val="20"/>
              <w:jc w:val="center"/>
              <w:rPr>
                <w:rFonts w:ascii="宋体" w:hAnsi="宋体" w:eastAsia="宋体" w:cs="宋体"/>
              </w:rPr>
            </w:pPr>
            <w:r>
              <w:rPr>
                <w:rFonts w:hint="eastAsia" w:ascii="宋体" w:hAnsi="宋体" w:eastAsia="宋体" w:cs="宋体"/>
              </w:rPr>
              <w:t>2012</w:t>
            </w:r>
            <w:r>
              <w:rPr>
                <w:rFonts w:hint="eastAsia" w:ascii="宋体" w:hAnsi="宋体" w:eastAsia="宋体" w:cs="宋体"/>
                <w:spacing w:val="-24"/>
              </w:rPr>
              <w:t xml:space="preserve"> 年上</w:t>
            </w:r>
          </w:p>
          <w:p w14:paraId="5CE8F774">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5"/>
              </w:rPr>
              <w:t>11</w:t>
            </w:r>
            <w:r>
              <w:rPr>
                <w:rFonts w:hint="eastAsia" w:ascii="宋体" w:hAnsi="宋体" w:eastAsia="宋体" w:cs="宋体"/>
              </w:rPr>
              <w:t>年</w:t>
            </w:r>
          </w:p>
        </w:tc>
        <w:tc>
          <w:tcPr>
            <w:tcW w:w="692" w:type="dxa"/>
            <w:vAlign w:val="center"/>
          </w:tcPr>
          <w:p w14:paraId="5232FF30">
            <w:pPr>
              <w:jc w:val="center"/>
              <w:rPr>
                <w:rFonts w:ascii="宋体" w:hAnsi="宋体" w:eastAsia="宋体" w:cs="宋体"/>
              </w:rPr>
            </w:pPr>
            <w:r>
              <w:rPr>
                <w:rFonts w:hint="eastAsia" w:ascii="宋体" w:hAnsi="宋体" w:eastAsia="宋体" w:cs="宋体"/>
              </w:rPr>
              <w:t>利旧</w:t>
            </w:r>
          </w:p>
        </w:tc>
      </w:tr>
      <w:tr w14:paraId="475DE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D91A1B1">
            <w:pPr>
              <w:pStyle w:val="20"/>
              <w:jc w:val="center"/>
              <w:rPr>
                <w:rFonts w:ascii="宋体" w:hAnsi="宋体" w:eastAsia="宋体" w:cs="宋体"/>
              </w:rPr>
            </w:pPr>
            <w:r>
              <w:rPr>
                <w:rFonts w:hint="eastAsia" w:ascii="宋体" w:hAnsi="宋体" w:eastAsia="宋体" w:cs="宋体"/>
              </w:rPr>
              <w:t>行政楼</w:t>
            </w:r>
            <w:r>
              <w:rPr>
                <w:rFonts w:hint="eastAsia" w:ascii="宋体" w:hAnsi="宋体" w:eastAsia="宋体" w:cs="宋体"/>
                <w:spacing w:val="-6"/>
              </w:rPr>
              <w:t>汇聚</w:t>
            </w:r>
          </w:p>
        </w:tc>
        <w:tc>
          <w:tcPr>
            <w:tcW w:w="1403" w:type="dxa"/>
            <w:vAlign w:val="center"/>
          </w:tcPr>
          <w:p w14:paraId="4031B4A2">
            <w:pPr>
              <w:pStyle w:val="20"/>
              <w:jc w:val="center"/>
              <w:rPr>
                <w:rFonts w:ascii="宋体" w:hAnsi="宋体" w:eastAsia="宋体" w:cs="宋体"/>
              </w:rPr>
            </w:pPr>
            <w:r>
              <w:rPr>
                <w:rFonts w:hint="eastAsia" w:ascii="宋体" w:hAnsi="宋体" w:eastAsia="宋体" w:cs="宋体"/>
              </w:rPr>
              <w:t xml:space="preserve">CN8672UP- </w:t>
            </w:r>
            <w:r>
              <w:rPr>
                <w:rFonts w:hint="eastAsia" w:ascii="宋体" w:hAnsi="宋体" w:eastAsia="宋体" w:cs="宋体"/>
                <w:spacing w:val="-4"/>
              </w:rPr>
              <w:t>16G</w:t>
            </w:r>
          </w:p>
        </w:tc>
        <w:tc>
          <w:tcPr>
            <w:tcW w:w="1163" w:type="dxa"/>
            <w:vAlign w:val="center"/>
          </w:tcPr>
          <w:p w14:paraId="62CEA54B">
            <w:pPr>
              <w:pStyle w:val="20"/>
              <w:jc w:val="center"/>
              <w:rPr>
                <w:rFonts w:ascii="宋体" w:hAnsi="宋体" w:eastAsia="宋体" w:cs="宋体"/>
              </w:rPr>
            </w:pPr>
            <w:r>
              <w:rPr>
                <w:rFonts w:hint="eastAsia" w:ascii="宋体" w:hAnsi="宋体" w:eastAsia="宋体" w:cs="宋体"/>
              </w:rPr>
              <w:t>浪思</w:t>
            </w:r>
          </w:p>
        </w:tc>
        <w:tc>
          <w:tcPr>
            <w:tcW w:w="498" w:type="dxa"/>
            <w:vAlign w:val="center"/>
          </w:tcPr>
          <w:p w14:paraId="4A55A145">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2291843A">
            <w:pPr>
              <w:pStyle w:val="20"/>
              <w:rPr>
                <w:rFonts w:ascii="宋体" w:hAnsi="宋体" w:eastAsia="宋体" w:cs="宋体"/>
              </w:rPr>
            </w:pPr>
            <w:r>
              <w:rPr>
                <w:rFonts w:hint="eastAsia" w:ascii="宋体" w:hAnsi="宋体" w:eastAsia="宋体" w:cs="宋体"/>
                <w:spacing w:val="-9"/>
              </w:rPr>
              <w:t xml:space="preserve">交换容量 </w:t>
            </w:r>
            <w:r>
              <w:rPr>
                <w:rFonts w:hint="eastAsia" w:ascii="宋体" w:hAnsi="宋体" w:eastAsia="宋体" w:cs="宋体"/>
              </w:rPr>
              <w:t xml:space="preserve">2.88Tbps，包转发率 </w:t>
            </w:r>
            <w:r>
              <w:rPr>
                <w:rFonts w:hint="eastAsia" w:ascii="宋体" w:hAnsi="宋体" w:eastAsia="宋体" w:cs="宋体"/>
                <w:spacing w:val="-2"/>
              </w:rPr>
              <w:t>1071Mpps，</w:t>
            </w:r>
            <w:r>
              <w:rPr>
                <w:rFonts w:hint="eastAsia" w:ascii="宋体" w:hAnsi="宋体" w:eastAsia="宋体" w:cs="宋体"/>
                <w:spacing w:val="-21"/>
              </w:rPr>
              <w:t xml:space="preserve">缓存 </w:t>
            </w:r>
            <w:r>
              <w:rPr>
                <w:rFonts w:hint="eastAsia" w:ascii="宋体" w:hAnsi="宋体" w:eastAsia="宋体" w:cs="宋体"/>
                <w:spacing w:val="-2"/>
              </w:rPr>
              <w:t>150M，48</w:t>
            </w:r>
            <w:r>
              <w:rPr>
                <w:rFonts w:hint="eastAsia" w:ascii="宋体" w:hAnsi="宋体" w:eastAsia="宋体" w:cs="宋体"/>
                <w:spacing w:val="-14"/>
              </w:rPr>
              <w:t xml:space="preserve"> 个万兆光</w:t>
            </w:r>
            <w:r>
              <w:rPr>
                <w:rFonts w:hint="eastAsia" w:ascii="宋体" w:hAnsi="宋体" w:eastAsia="宋体" w:cs="宋体"/>
              </w:rPr>
              <w:t>口，6</w:t>
            </w:r>
            <w:r>
              <w:rPr>
                <w:rFonts w:hint="eastAsia" w:ascii="宋体" w:hAnsi="宋体" w:eastAsia="宋体" w:cs="宋体"/>
                <w:spacing w:val="-10"/>
              </w:rPr>
              <w:t xml:space="preserve"> 个 </w:t>
            </w:r>
            <w:r>
              <w:rPr>
                <w:rFonts w:hint="eastAsia" w:ascii="宋体" w:hAnsi="宋体" w:eastAsia="宋体" w:cs="宋体"/>
              </w:rPr>
              <w:t>40G</w:t>
            </w:r>
            <w:r>
              <w:rPr>
                <w:rFonts w:hint="eastAsia" w:ascii="宋体" w:hAnsi="宋体" w:eastAsia="宋体" w:cs="宋体"/>
                <w:spacing w:val="-5"/>
              </w:rPr>
              <w:t xml:space="preserve"> 光口</w:t>
            </w:r>
          </w:p>
        </w:tc>
        <w:tc>
          <w:tcPr>
            <w:tcW w:w="1134" w:type="dxa"/>
            <w:vAlign w:val="center"/>
          </w:tcPr>
          <w:p w14:paraId="19F7965B">
            <w:pPr>
              <w:pStyle w:val="20"/>
              <w:jc w:val="center"/>
              <w:rPr>
                <w:rFonts w:ascii="宋体" w:hAnsi="宋体" w:eastAsia="宋体" w:cs="宋体"/>
              </w:rPr>
            </w:pPr>
            <w:r>
              <w:rPr>
                <w:rFonts w:hint="eastAsia" w:ascii="宋体" w:hAnsi="宋体" w:eastAsia="宋体" w:cs="宋体"/>
              </w:rPr>
              <w:t>2018</w:t>
            </w:r>
            <w:r>
              <w:rPr>
                <w:rFonts w:hint="eastAsia" w:ascii="宋体" w:hAnsi="宋体" w:eastAsia="宋体" w:cs="宋体"/>
                <w:spacing w:val="-24"/>
              </w:rPr>
              <w:t xml:space="preserve"> 年上</w:t>
            </w:r>
          </w:p>
          <w:p w14:paraId="7E583441">
            <w:pPr>
              <w:pStyle w:val="20"/>
              <w:jc w:val="center"/>
              <w:rPr>
                <w:rFonts w:ascii="宋体" w:hAnsi="宋体" w:eastAsia="宋体" w:cs="宋体"/>
              </w:rPr>
            </w:pPr>
            <w:r>
              <w:rPr>
                <w:rFonts w:hint="eastAsia" w:ascii="宋体" w:hAnsi="宋体" w:eastAsia="宋体" w:cs="宋体"/>
              </w:rPr>
              <w:t xml:space="preserve">线， </w:t>
            </w:r>
            <w:r>
              <w:rPr>
                <w:rFonts w:hint="eastAsia" w:ascii="宋体" w:hAnsi="宋体" w:eastAsia="宋体" w:cs="宋体"/>
                <w:spacing w:val="-10"/>
              </w:rPr>
              <w:t>5</w:t>
            </w:r>
            <w:r>
              <w:rPr>
                <w:rFonts w:hint="eastAsia" w:ascii="宋体" w:hAnsi="宋体" w:eastAsia="宋体" w:cs="宋体"/>
              </w:rPr>
              <w:t>年</w:t>
            </w:r>
          </w:p>
        </w:tc>
        <w:tc>
          <w:tcPr>
            <w:tcW w:w="692" w:type="dxa"/>
            <w:vAlign w:val="center"/>
          </w:tcPr>
          <w:p w14:paraId="274EA2AE">
            <w:pPr>
              <w:jc w:val="center"/>
              <w:rPr>
                <w:rFonts w:ascii="宋体" w:hAnsi="宋体" w:eastAsia="宋体" w:cs="宋体"/>
              </w:rPr>
            </w:pPr>
            <w:r>
              <w:rPr>
                <w:rFonts w:hint="eastAsia" w:ascii="宋体" w:hAnsi="宋体" w:eastAsia="宋体" w:cs="宋体"/>
              </w:rPr>
              <w:t>利旧</w:t>
            </w:r>
          </w:p>
        </w:tc>
      </w:tr>
      <w:tr w14:paraId="2574C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5FC51933">
            <w:pPr>
              <w:pStyle w:val="20"/>
              <w:jc w:val="center"/>
              <w:rPr>
                <w:rFonts w:ascii="宋体" w:hAnsi="宋体" w:eastAsia="宋体" w:cs="宋体"/>
              </w:rPr>
            </w:pPr>
            <w:r>
              <w:rPr>
                <w:rFonts w:hint="eastAsia" w:ascii="宋体" w:hAnsi="宋体" w:eastAsia="宋体" w:cs="宋体"/>
              </w:rPr>
              <w:t>图书馆</w:t>
            </w:r>
            <w:r>
              <w:rPr>
                <w:rFonts w:hint="eastAsia" w:ascii="宋体" w:hAnsi="宋体" w:eastAsia="宋体" w:cs="宋体"/>
                <w:spacing w:val="-6"/>
              </w:rPr>
              <w:t>汇聚</w:t>
            </w:r>
          </w:p>
        </w:tc>
        <w:tc>
          <w:tcPr>
            <w:tcW w:w="1403" w:type="dxa"/>
            <w:vAlign w:val="center"/>
          </w:tcPr>
          <w:p w14:paraId="407A207B">
            <w:pPr>
              <w:pStyle w:val="20"/>
              <w:jc w:val="center"/>
              <w:rPr>
                <w:rFonts w:ascii="宋体" w:hAnsi="宋体" w:eastAsia="宋体" w:cs="宋体"/>
                <w:spacing w:val="-2"/>
              </w:rPr>
            </w:pPr>
            <w:r>
              <w:rPr>
                <w:rFonts w:hint="eastAsia" w:ascii="宋体" w:hAnsi="宋体" w:eastAsia="宋体" w:cs="宋体"/>
              </w:rPr>
              <w:t>CISCO7609-</w:t>
            </w:r>
            <w:r>
              <w:rPr>
                <w:rFonts w:hint="eastAsia" w:ascii="宋体" w:hAnsi="宋体" w:eastAsia="宋体" w:cs="宋体"/>
                <w:spacing w:val="-10"/>
              </w:rPr>
              <w:t>S</w:t>
            </w:r>
          </w:p>
        </w:tc>
        <w:tc>
          <w:tcPr>
            <w:tcW w:w="1163" w:type="dxa"/>
            <w:vAlign w:val="center"/>
          </w:tcPr>
          <w:p w14:paraId="65F3CC99">
            <w:pPr>
              <w:pStyle w:val="20"/>
              <w:jc w:val="center"/>
              <w:rPr>
                <w:rFonts w:ascii="宋体" w:hAnsi="宋体" w:eastAsia="宋体" w:cs="宋体"/>
              </w:rPr>
            </w:pPr>
            <w:r>
              <w:rPr>
                <w:rFonts w:hint="eastAsia" w:ascii="宋体" w:hAnsi="宋体" w:eastAsia="宋体" w:cs="宋体"/>
              </w:rPr>
              <w:t>思科</w:t>
            </w:r>
          </w:p>
        </w:tc>
        <w:tc>
          <w:tcPr>
            <w:tcW w:w="498" w:type="dxa"/>
          </w:tcPr>
          <w:p w14:paraId="5B364EC8">
            <w:pPr>
              <w:pStyle w:val="20"/>
              <w:jc w:val="center"/>
              <w:rPr>
                <w:rFonts w:ascii="宋体" w:hAnsi="宋体" w:eastAsia="宋体" w:cs="宋体"/>
              </w:rPr>
            </w:pPr>
          </w:p>
          <w:p w14:paraId="2854FDDC">
            <w:pPr>
              <w:pStyle w:val="20"/>
              <w:jc w:val="center"/>
              <w:rPr>
                <w:rFonts w:ascii="宋体" w:hAnsi="宋体" w:eastAsia="宋体" w:cs="宋体"/>
              </w:rPr>
            </w:pPr>
            <w:r>
              <w:rPr>
                <w:rFonts w:hint="eastAsia" w:ascii="宋体" w:hAnsi="宋体" w:eastAsia="宋体" w:cs="宋体"/>
              </w:rPr>
              <w:t>1</w:t>
            </w:r>
          </w:p>
        </w:tc>
        <w:tc>
          <w:tcPr>
            <w:tcW w:w="2976" w:type="dxa"/>
          </w:tcPr>
          <w:p w14:paraId="66AC1CAE">
            <w:pPr>
              <w:pStyle w:val="20"/>
              <w:rPr>
                <w:rFonts w:ascii="宋体" w:hAnsi="宋体" w:eastAsia="宋体" w:cs="宋体"/>
                <w:spacing w:val="-9"/>
              </w:rPr>
            </w:pPr>
            <w:r>
              <w:rPr>
                <w:rFonts w:hint="eastAsia" w:ascii="宋体" w:hAnsi="宋体" w:eastAsia="宋体" w:cs="宋体"/>
              </w:rPr>
              <w:t>高性能路由器，720Gbps</w:t>
            </w:r>
            <w:r>
              <w:rPr>
                <w:rFonts w:hint="eastAsia" w:ascii="宋体" w:hAnsi="宋体" w:eastAsia="宋体" w:cs="宋体"/>
                <w:spacing w:val="-6"/>
              </w:rPr>
              <w:t xml:space="preserve"> 总吞吐率，</w:t>
            </w:r>
            <w:r>
              <w:rPr>
                <w:rFonts w:hint="eastAsia" w:ascii="宋体" w:hAnsi="宋体" w:eastAsia="宋体" w:cs="宋体"/>
              </w:rPr>
              <w:t>9</w:t>
            </w:r>
            <w:r>
              <w:rPr>
                <w:rFonts w:hint="eastAsia" w:ascii="宋体" w:hAnsi="宋体" w:eastAsia="宋体" w:cs="宋体"/>
                <w:spacing w:val="-2"/>
              </w:rPr>
              <w:t>个业务槽位</w:t>
            </w:r>
          </w:p>
        </w:tc>
        <w:tc>
          <w:tcPr>
            <w:tcW w:w="1134" w:type="dxa"/>
          </w:tcPr>
          <w:p w14:paraId="3E774BD9">
            <w:pPr>
              <w:pStyle w:val="20"/>
              <w:jc w:val="center"/>
              <w:rPr>
                <w:rFonts w:ascii="宋体" w:hAnsi="宋体" w:eastAsia="宋体" w:cs="宋体"/>
              </w:rPr>
            </w:pPr>
            <w:r>
              <w:rPr>
                <w:rFonts w:hint="eastAsia" w:ascii="宋体" w:hAnsi="宋体" w:eastAsia="宋体" w:cs="宋体"/>
              </w:rPr>
              <w:t>2008</w:t>
            </w:r>
            <w:r>
              <w:rPr>
                <w:rFonts w:hint="eastAsia" w:ascii="宋体" w:hAnsi="宋体" w:eastAsia="宋体" w:cs="宋体"/>
                <w:spacing w:val="-24"/>
              </w:rPr>
              <w:t>上</w:t>
            </w:r>
            <w:r>
              <w:rPr>
                <w:rFonts w:hint="eastAsia" w:ascii="宋体" w:hAnsi="宋体" w:eastAsia="宋体" w:cs="宋体"/>
                <w:spacing w:val="-12"/>
              </w:rPr>
              <w:t>线，</w:t>
            </w:r>
            <w:r>
              <w:rPr>
                <w:rFonts w:hint="eastAsia" w:ascii="宋体" w:hAnsi="宋体" w:eastAsia="宋体" w:cs="宋体"/>
                <w:spacing w:val="-5"/>
              </w:rPr>
              <w:t>15</w:t>
            </w:r>
            <w:r>
              <w:rPr>
                <w:rFonts w:hint="eastAsia" w:ascii="宋体" w:hAnsi="宋体" w:eastAsia="宋体" w:cs="宋体"/>
              </w:rPr>
              <w:t>年</w:t>
            </w:r>
          </w:p>
        </w:tc>
        <w:tc>
          <w:tcPr>
            <w:tcW w:w="692" w:type="dxa"/>
          </w:tcPr>
          <w:p w14:paraId="785C7D16">
            <w:pPr>
              <w:jc w:val="center"/>
              <w:rPr>
                <w:rFonts w:ascii="宋体" w:hAnsi="宋体" w:eastAsia="宋体" w:cs="宋体"/>
              </w:rPr>
            </w:pPr>
            <w:r>
              <w:rPr>
                <w:rFonts w:hint="eastAsia" w:ascii="宋体" w:hAnsi="宋体" w:eastAsia="宋体" w:cs="宋体"/>
              </w:rPr>
              <w:t>淘汰</w:t>
            </w:r>
          </w:p>
        </w:tc>
      </w:tr>
      <w:tr w14:paraId="0872ED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0E847337">
            <w:pPr>
              <w:pStyle w:val="20"/>
              <w:jc w:val="center"/>
              <w:rPr>
                <w:rFonts w:ascii="宋体" w:hAnsi="宋体" w:eastAsia="宋体" w:cs="宋体"/>
              </w:rPr>
            </w:pPr>
            <w:r>
              <w:rPr>
                <w:rFonts w:hint="eastAsia" w:ascii="宋体" w:hAnsi="宋体" w:eastAsia="宋体" w:cs="宋体"/>
              </w:rPr>
              <w:t>全光核心交换机</w:t>
            </w:r>
          </w:p>
        </w:tc>
        <w:tc>
          <w:tcPr>
            <w:tcW w:w="1403" w:type="dxa"/>
            <w:vAlign w:val="center"/>
          </w:tcPr>
          <w:p w14:paraId="7FABDB6A">
            <w:pPr>
              <w:pStyle w:val="20"/>
              <w:jc w:val="center"/>
              <w:rPr>
                <w:rFonts w:ascii="宋体" w:hAnsi="宋体" w:eastAsia="宋体" w:cs="宋体"/>
              </w:rPr>
            </w:pPr>
            <w:r>
              <w:rPr>
                <w:rFonts w:hint="eastAsia" w:ascii="宋体" w:hAnsi="宋体" w:eastAsia="宋体" w:cs="宋体"/>
              </w:rPr>
              <w:t>S12700-E</w:t>
            </w:r>
          </w:p>
        </w:tc>
        <w:tc>
          <w:tcPr>
            <w:tcW w:w="1163" w:type="dxa"/>
            <w:vAlign w:val="center"/>
          </w:tcPr>
          <w:p w14:paraId="1F40E324">
            <w:pPr>
              <w:pStyle w:val="20"/>
              <w:jc w:val="center"/>
              <w:rPr>
                <w:rFonts w:ascii="宋体" w:hAnsi="宋体" w:eastAsia="宋体" w:cs="宋体"/>
              </w:rPr>
            </w:pPr>
            <w:r>
              <w:rPr>
                <w:rFonts w:hint="eastAsia" w:ascii="宋体" w:hAnsi="宋体" w:eastAsia="宋体" w:cs="宋体"/>
              </w:rPr>
              <w:t>华为</w:t>
            </w:r>
          </w:p>
        </w:tc>
        <w:tc>
          <w:tcPr>
            <w:tcW w:w="498" w:type="dxa"/>
          </w:tcPr>
          <w:p w14:paraId="5606E1A9">
            <w:pPr>
              <w:pStyle w:val="20"/>
              <w:jc w:val="center"/>
              <w:rPr>
                <w:rFonts w:ascii="宋体" w:hAnsi="宋体" w:eastAsia="宋体" w:cs="宋体"/>
              </w:rPr>
            </w:pPr>
            <w:r>
              <w:rPr>
                <w:rFonts w:hint="eastAsia" w:ascii="宋体" w:hAnsi="宋体" w:eastAsia="宋体" w:cs="宋体"/>
              </w:rPr>
              <w:t>1</w:t>
            </w:r>
          </w:p>
        </w:tc>
        <w:tc>
          <w:tcPr>
            <w:tcW w:w="2976" w:type="dxa"/>
          </w:tcPr>
          <w:p w14:paraId="651DE679">
            <w:pPr>
              <w:pStyle w:val="20"/>
              <w:rPr>
                <w:rFonts w:ascii="宋体" w:hAnsi="宋体" w:eastAsia="宋体" w:cs="宋体"/>
              </w:rPr>
            </w:pPr>
            <w:r>
              <w:rPr>
                <w:rFonts w:hint="eastAsia" w:ascii="宋体" w:hAnsi="宋体" w:eastAsia="宋体" w:cs="宋体"/>
              </w:rPr>
              <w:t>‌传输速率‌：96000 Mpps，8个业务板槽位、4个交换网板槽位、2个主控板槽位、2个集中监控板槽位、6个电源模块槽位。</w:t>
            </w:r>
          </w:p>
        </w:tc>
        <w:tc>
          <w:tcPr>
            <w:tcW w:w="1134" w:type="dxa"/>
          </w:tcPr>
          <w:p w14:paraId="2CB65BB2">
            <w:pPr>
              <w:pStyle w:val="20"/>
              <w:jc w:val="center"/>
              <w:rPr>
                <w:rFonts w:ascii="宋体" w:hAnsi="宋体" w:eastAsia="宋体" w:cs="宋体"/>
              </w:rPr>
            </w:pPr>
            <w:r>
              <w:rPr>
                <w:rFonts w:hint="eastAsia" w:ascii="宋体" w:hAnsi="宋体" w:eastAsia="宋体" w:cs="宋体"/>
              </w:rPr>
              <w:t>2023年上线，1年</w:t>
            </w:r>
          </w:p>
        </w:tc>
        <w:tc>
          <w:tcPr>
            <w:tcW w:w="692" w:type="dxa"/>
          </w:tcPr>
          <w:p w14:paraId="722A9940">
            <w:pPr>
              <w:jc w:val="center"/>
              <w:rPr>
                <w:rFonts w:ascii="宋体" w:hAnsi="宋体" w:eastAsia="宋体" w:cs="宋体"/>
              </w:rPr>
            </w:pPr>
            <w:r>
              <w:rPr>
                <w:rFonts w:hint="eastAsia" w:ascii="宋体" w:hAnsi="宋体" w:eastAsia="宋体" w:cs="宋体"/>
              </w:rPr>
              <w:t>利旧</w:t>
            </w:r>
          </w:p>
        </w:tc>
      </w:tr>
      <w:tr w14:paraId="7D9AB7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678AB7C8">
            <w:pPr>
              <w:pStyle w:val="20"/>
              <w:jc w:val="center"/>
              <w:rPr>
                <w:rFonts w:ascii="宋体" w:hAnsi="宋体" w:eastAsia="宋体" w:cs="宋体"/>
              </w:rPr>
            </w:pPr>
            <w:r>
              <w:rPr>
                <w:rFonts w:hint="eastAsia" w:ascii="宋体" w:hAnsi="宋体" w:eastAsia="宋体" w:cs="宋体"/>
              </w:rPr>
              <w:t>全光网络OLT</w:t>
            </w:r>
          </w:p>
        </w:tc>
        <w:tc>
          <w:tcPr>
            <w:tcW w:w="1403" w:type="dxa"/>
            <w:vAlign w:val="center"/>
          </w:tcPr>
          <w:p w14:paraId="25986AC2">
            <w:pPr>
              <w:pStyle w:val="20"/>
              <w:jc w:val="center"/>
              <w:rPr>
                <w:rFonts w:ascii="宋体" w:hAnsi="宋体" w:eastAsia="宋体" w:cs="宋体"/>
              </w:rPr>
            </w:pPr>
            <w:r>
              <w:rPr>
                <w:rFonts w:hint="eastAsia" w:ascii="宋体" w:hAnsi="宋体" w:eastAsia="宋体" w:cs="宋体"/>
              </w:rPr>
              <w:t>EA-5800X15</w:t>
            </w:r>
          </w:p>
        </w:tc>
        <w:tc>
          <w:tcPr>
            <w:tcW w:w="1163" w:type="dxa"/>
            <w:vAlign w:val="center"/>
          </w:tcPr>
          <w:p w14:paraId="246FAD44">
            <w:pPr>
              <w:pStyle w:val="20"/>
              <w:jc w:val="center"/>
              <w:rPr>
                <w:rFonts w:ascii="宋体" w:hAnsi="宋体" w:eastAsia="宋体" w:cs="宋体"/>
              </w:rPr>
            </w:pPr>
            <w:r>
              <w:rPr>
                <w:rFonts w:hint="eastAsia" w:ascii="宋体" w:hAnsi="宋体" w:eastAsia="宋体" w:cs="宋体"/>
              </w:rPr>
              <w:t>华为</w:t>
            </w:r>
          </w:p>
        </w:tc>
        <w:tc>
          <w:tcPr>
            <w:tcW w:w="498" w:type="dxa"/>
          </w:tcPr>
          <w:p w14:paraId="1DC2E88E">
            <w:pPr>
              <w:pStyle w:val="20"/>
              <w:jc w:val="center"/>
              <w:rPr>
                <w:rFonts w:ascii="宋体" w:hAnsi="宋体" w:eastAsia="宋体" w:cs="宋体"/>
              </w:rPr>
            </w:pPr>
            <w:r>
              <w:rPr>
                <w:rFonts w:hint="eastAsia" w:ascii="宋体" w:hAnsi="宋体" w:eastAsia="宋体" w:cs="宋体"/>
              </w:rPr>
              <w:t>1</w:t>
            </w:r>
          </w:p>
        </w:tc>
        <w:tc>
          <w:tcPr>
            <w:tcW w:w="2976" w:type="dxa"/>
          </w:tcPr>
          <w:p w14:paraId="76C24EAA">
            <w:pPr>
              <w:pStyle w:val="20"/>
              <w:rPr>
                <w:rFonts w:ascii="宋体" w:hAnsi="宋体" w:eastAsia="宋体" w:cs="宋体"/>
              </w:rPr>
            </w:pPr>
            <w:r>
              <w:rPr>
                <w:rFonts w:hint="eastAsia" w:ascii="宋体" w:hAnsi="宋体" w:eastAsia="宋体" w:cs="宋体"/>
              </w:rPr>
              <w:t>包括2个主控板槽位、2个电源板槽位、1个通用接口板槽位、15个业务板槽位</w:t>
            </w:r>
          </w:p>
        </w:tc>
        <w:tc>
          <w:tcPr>
            <w:tcW w:w="1134" w:type="dxa"/>
          </w:tcPr>
          <w:p w14:paraId="7510C90F">
            <w:pPr>
              <w:pStyle w:val="20"/>
              <w:jc w:val="center"/>
              <w:rPr>
                <w:rFonts w:ascii="宋体" w:hAnsi="宋体" w:eastAsia="宋体" w:cs="宋体"/>
              </w:rPr>
            </w:pPr>
            <w:r>
              <w:rPr>
                <w:rFonts w:hint="eastAsia" w:ascii="宋体" w:hAnsi="宋体" w:eastAsia="宋体" w:cs="宋体"/>
              </w:rPr>
              <w:t>2023年上线，1年</w:t>
            </w:r>
          </w:p>
        </w:tc>
        <w:tc>
          <w:tcPr>
            <w:tcW w:w="692" w:type="dxa"/>
          </w:tcPr>
          <w:p w14:paraId="3EF6C380">
            <w:pPr>
              <w:jc w:val="center"/>
              <w:rPr>
                <w:rFonts w:ascii="宋体" w:hAnsi="宋体" w:eastAsia="宋体" w:cs="宋体"/>
              </w:rPr>
            </w:pPr>
            <w:r>
              <w:rPr>
                <w:rFonts w:hint="eastAsia" w:ascii="宋体" w:hAnsi="宋体" w:eastAsia="宋体" w:cs="宋体"/>
              </w:rPr>
              <w:t>利旧</w:t>
            </w:r>
          </w:p>
        </w:tc>
      </w:tr>
      <w:tr w14:paraId="3B8B2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bottom"/>
          </w:tcPr>
          <w:p w14:paraId="24D0DF97">
            <w:pPr>
              <w:jc w:val="center"/>
              <w:rPr>
                <w:rFonts w:ascii="宋体" w:hAnsi="宋体" w:eastAsia="宋体" w:cs="宋体"/>
              </w:rPr>
            </w:pPr>
            <w:r>
              <w:rPr>
                <w:rFonts w:hint="eastAsia" w:ascii="宋体" w:hAnsi="宋体" w:eastAsia="宋体" w:cs="宋体"/>
              </w:rPr>
              <w:t>流量采集分析系统</w:t>
            </w:r>
          </w:p>
        </w:tc>
        <w:tc>
          <w:tcPr>
            <w:tcW w:w="1403" w:type="dxa"/>
            <w:vAlign w:val="bottom"/>
          </w:tcPr>
          <w:p w14:paraId="30AC1ABC">
            <w:pPr>
              <w:jc w:val="center"/>
              <w:rPr>
                <w:rFonts w:ascii="宋体" w:hAnsi="宋体" w:eastAsia="宋体" w:cs="宋体"/>
              </w:rPr>
            </w:pPr>
            <w:r>
              <w:rPr>
                <w:rFonts w:hint="eastAsia" w:ascii="宋体" w:hAnsi="宋体" w:eastAsia="宋体" w:cs="宋体"/>
              </w:rPr>
              <w:t>NG3506SX</w:t>
            </w:r>
          </w:p>
        </w:tc>
        <w:tc>
          <w:tcPr>
            <w:tcW w:w="1163" w:type="dxa"/>
            <w:vAlign w:val="center"/>
          </w:tcPr>
          <w:p w14:paraId="085FAB0B">
            <w:pPr>
              <w:jc w:val="center"/>
              <w:rPr>
                <w:rFonts w:ascii="宋体" w:hAnsi="宋体" w:eastAsia="宋体" w:cs="宋体"/>
              </w:rPr>
            </w:pPr>
            <w:r>
              <w:rPr>
                <w:rFonts w:hint="eastAsia" w:ascii="宋体" w:hAnsi="宋体" w:eastAsia="宋体" w:cs="宋体"/>
              </w:rPr>
              <w:t>科来</w:t>
            </w:r>
          </w:p>
        </w:tc>
        <w:tc>
          <w:tcPr>
            <w:tcW w:w="498" w:type="dxa"/>
            <w:vAlign w:val="bottom"/>
          </w:tcPr>
          <w:p w14:paraId="0DFE521B">
            <w:pPr>
              <w:jc w:val="center"/>
              <w:rPr>
                <w:rFonts w:ascii="宋体" w:hAnsi="宋体" w:eastAsia="宋体" w:cs="宋体"/>
              </w:rPr>
            </w:pPr>
            <w:r>
              <w:rPr>
                <w:rFonts w:hint="eastAsia" w:ascii="宋体" w:hAnsi="宋体" w:eastAsia="宋体" w:cs="宋体"/>
              </w:rPr>
              <w:t>1</w:t>
            </w:r>
          </w:p>
        </w:tc>
        <w:tc>
          <w:tcPr>
            <w:tcW w:w="2976" w:type="dxa"/>
            <w:vAlign w:val="bottom"/>
          </w:tcPr>
          <w:p w14:paraId="48C20195">
            <w:pPr>
              <w:rPr>
                <w:rFonts w:ascii="宋体" w:hAnsi="宋体" w:eastAsia="宋体" w:cs="宋体"/>
              </w:rPr>
            </w:pPr>
            <w:r>
              <w:rPr>
                <w:rFonts w:hint="eastAsia" w:ascii="宋体" w:hAnsi="宋体" w:eastAsia="宋体" w:cs="宋体"/>
              </w:rPr>
              <w:t>10个1G/10G光接口，64T存储</w:t>
            </w:r>
          </w:p>
        </w:tc>
        <w:tc>
          <w:tcPr>
            <w:tcW w:w="1134" w:type="dxa"/>
            <w:vAlign w:val="bottom"/>
          </w:tcPr>
          <w:p w14:paraId="063D565D">
            <w:pPr>
              <w:jc w:val="center"/>
              <w:rPr>
                <w:rFonts w:ascii="宋体" w:hAnsi="宋体" w:eastAsia="宋体" w:cs="宋体"/>
              </w:rPr>
            </w:pPr>
            <w:r>
              <w:rPr>
                <w:rFonts w:hint="eastAsia" w:ascii="宋体" w:hAnsi="宋体" w:eastAsia="宋体" w:cs="宋体"/>
              </w:rPr>
              <w:t>5年</w:t>
            </w:r>
          </w:p>
        </w:tc>
        <w:tc>
          <w:tcPr>
            <w:tcW w:w="692" w:type="dxa"/>
            <w:vAlign w:val="bottom"/>
          </w:tcPr>
          <w:p w14:paraId="5B607C7F">
            <w:pPr>
              <w:jc w:val="center"/>
              <w:rPr>
                <w:rFonts w:ascii="宋体" w:hAnsi="宋体" w:eastAsia="宋体" w:cs="宋体"/>
                <w:color w:val="000000"/>
              </w:rPr>
            </w:pPr>
            <w:r>
              <w:rPr>
                <w:rFonts w:hint="eastAsia" w:ascii="宋体" w:hAnsi="宋体" w:eastAsia="宋体" w:cs="宋体"/>
              </w:rPr>
              <w:t>利旧</w:t>
            </w:r>
          </w:p>
        </w:tc>
      </w:tr>
      <w:tr w14:paraId="291B4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bottom"/>
          </w:tcPr>
          <w:p w14:paraId="65F41C43">
            <w:pPr>
              <w:jc w:val="center"/>
              <w:rPr>
                <w:rFonts w:ascii="宋体" w:hAnsi="宋体" w:eastAsia="宋体" w:cs="宋体"/>
              </w:rPr>
            </w:pPr>
            <w:r>
              <w:rPr>
                <w:rFonts w:hint="eastAsia" w:ascii="宋体" w:hAnsi="宋体" w:eastAsia="宋体" w:cs="宋体"/>
              </w:rPr>
              <w:t>APT攻击预警</w:t>
            </w:r>
          </w:p>
        </w:tc>
        <w:tc>
          <w:tcPr>
            <w:tcW w:w="1403" w:type="dxa"/>
            <w:vAlign w:val="bottom"/>
          </w:tcPr>
          <w:p w14:paraId="48281281">
            <w:pPr>
              <w:jc w:val="center"/>
              <w:rPr>
                <w:rFonts w:ascii="宋体" w:hAnsi="宋体" w:eastAsia="宋体" w:cs="宋体"/>
              </w:rPr>
            </w:pPr>
            <w:r>
              <w:rPr>
                <w:rFonts w:hint="eastAsia" w:ascii="宋体" w:hAnsi="宋体" w:eastAsia="宋体" w:cs="宋体"/>
              </w:rPr>
              <w:t>DAS-APT-10000</w:t>
            </w:r>
          </w:p>
        </w:tc>
        <w:tc>
          <w:tcPr>
            <w:tcW w:w="1163" w:type="dxa"/>
            <w:vAlign w:val="center"/>
          </w:tcPr>
          <w:p w14:paraId="540A93D6">
            <w:pPr>
              <w:jc w:val="center"/>
              <w:rPr>
                <w:rFonts w:ascii="宋体" w:hAnsi="宋体" w:eastAsia="宋体" w:cs="宋体"/>
              </w:rPr>
            </w:pPr>
            <w:r>
              <w:rPr>
                <w:rFonts w:hint="eastAsia" w:ascii="宋体" w:hAnsi="宋体" w:eastAsia="宋体" w:cs="宋体"/>
              </w:rPr>
              <w:t>安恒</w:t>
            </w:r>
          </w:p>
        </w:tc>
        <w:tc>
          <w:tcPr>
            <w:tcW w:w="498" w:type="dxa"/>
            <w:vAlign w:val="bottom"/>
          </w:tcPr>
          <w:p w14:paraId="6FC41858">
            <w:pPr>
              <w:jc w:val="center"/>
              <w:rPr>
                <w:rFonts w:ascii="宋体" w:hAnsi="宋体" w:eastAsia="宋体" w:cs="宋体"/>
              </w:rPr>
            </w:pPr>
            <w:r>
              <w:rPr>
                <w:rFonts w:hint="eastAsia" w:ascii="宋体" w:hAnsi="宋体" w:eastAsia="宋体" w:cs="宋体"/>
              </w:rPr>
              <w:t>1</w:t>
            </w:r>
          </w:p>
        </w:tc>
        <w:tc>
          <w:tcPr>
            <w:tcW w:w="2976" w:type="dxa"/>
            <w:vAlign w:val="bottom"/>
          </w:tcPr>
          <w:p w14:paraId="5FD9D901">
            <w:pPr>
              <w:rPr>
                <w:rFonts w:ascii="宋体" w:hAnsi="宋体" w:eastAsia="宋体" w:cs="宋体"/>
              </w:rPr>
            </w:pPr>
            <w:r>
              <w:rPr>
                <w:rFonts w:hint="eastAsia" w:ascii="宋体" w:hAnsi="宋体" w:eastAsia="宋体" w:cs="宋体"/>
              </w:rPr>
              <w:t>4个1G，4G10G光接口，8T存储</w:t>
            </w:r>
          </w:p>
        </w:tc>
        <w:tc>
          <w:tcPr>
            <w:tcW w:w="1134" w:type="dxa"/>
            <w:vAlign w:val="bottom"/>
          </w:tcPr>
          <w:p w14:paraId="47E96C22">
            <w:pPr>
              <w:jc w:val="center"/>
              <w:rPr>
                <w:rFonts w:ascii="宋体" w:hAnsi="宋体" w:eastAsia="宋体" w:cs="宋体"/>
              </w:rPr>
            </w:pPr>
            <w:r>
              <w:rPr>
                <w:rFonts w:hint="eastAsia" w:ascii="宋体" w:hAnsi="宋体" w:eastAsia="宋体" w:cs="宋体"/>
              </w:rPr>
              <w:t>3年</w:t>
            </w:r>
          </w:p>
        </w:tc>
        <w:tc>
          <w:tcPr>
            <w:tcW w:w="692" w:type="dxa"/>
            <w:vAlign w:val="bottom"/>
          </w:tcPr>
          <w:p w14:paraId="01FF3BA0">
            <w:pPr>
              <w:jc w:val="center"/>
              <w:rPr>
                <w:rFonts w:ascii="宋体" w:hAnsi="宋体" w:eastAsia="宋体" w:cs="宋体"/>
                <w:color w:val="000000"/>
              </w:rPr>
            </w:pPr>
            <w:r>
              <w:rPr>
                <w:rFonts w:hint="eastAsia" w:ascii="宋体" w:hAnsi="宋体" w:eastAsia="宋体" w:cs="宋体"/>
              </w:rPr>
              <w:t>利旧</w:t>
            </w:r>
          </w:p>
        </w:tc>
      </w:tr>
      <w:tr w14:paraId="4CB8D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bottom"/>
          </w:tcPr>
          <w:p w14:paraId="0EF1B9B4">
            <w:pPr>
              <w:jc w:val="center"/>
              <w:rPr>
                <w:rFonts w:ascii="宋体" w:hAnsi="宋体" w:eastAsia="宋体" w:cs="宋体"/>
              </w:rPr>
            </w:pPr>
            <w:r>
              <w:rPr>
                <w:rFonts w:hint="eastAsia" w:ascii="宋体" w:hAnsi="宋体" w:eastAsia="宋体" w:cs="宋体"/>
              </w:rPr>
              <w:t>资产运营平台</w:t>
            </w:r>
          </w:p>
        </w:tc>
        <w:tc>
          <w:tcPr>
            <w:tcW w:w="1403" w:type="dxa"/>
            <w:vAlign w:val="bottom"/>
          </w:tcPr>
          <w:p w14:paraId="492821C3">
            <w:pPr>
              <w:jc w:val="center"/>
              <w:rPr>
                <w:rFonts w:ascii="宋体" w:hAnsi="宋体" w:eastAsia="宋体" w:cs="宋体"/>
              </w:rPr>
            </w:pPr>
            <w:r>
              <w:rPr>
                <w:rFonts w:hint="eastAsia" w:ascii="宋体" w:hAnsi="宋体" w:eastAsia="宋体" w:cs="宋体"/>
              </w:rPr>
              <w:t>DAS-AHCloud- Assets-P100</w:t>
            </w:r>
          </w:p>
        </w:tc>
        <w:tc>
          <w:tcPr>
            <w:tcW w:w="1163" w:type="dxa"/>
            <w:vAlign w:val="center"/>
          </w:tcPr>
          <w:p w14:paraId="68C24912">
            <w:pPr>
              <w:jc w:val="center"/>
              <w:rPr>
                <w:rFonts w:ascii="宋体" w:hAnsi="宋体" w:eastAsia="宋体" w:cs="宋体"/>
              </w:rPr>
            </w:pPr>
            <w:r>
              <w:rPr>
                <w:rFonts w:hint="eastAsia" w:ascii="宋体" w:hAnsi="宋体" w:eastAsia="宋体" w:cs="宋体"/>
              </w:rPr>
              <w:t>安恒</w:t>
            </w:r>
          </w:p>
        </w:tc>
        <w:tc>
          <w:tcPr>
            <w:tcW w:w="498" w:type="dxa"/>
            <w:vAlign w:val="bottom"/>
          </w:tcPr>
          <w:p w14:paraId="3AF24CDE">
            <w:pPr>
              <w:jc w:val="center"/>
              <w:rPr>
                <w:rFonts w:ascii="宋体" w:hAnsi="宋体" w:eastAsia="宋体" w:cs="宋体"/>
              </w:rPr>
            </w:pPr>
            <w:r>
              <w:rPr>
                <w:rFonts w:hint="eastAsia" w:ascii="宋体" w:hAnsi="宋体" w:eastAsia="宋体" w:cs="宋体"/>
              </w:rPr>
              <w:t>1</w:t>
            </w:r>
          </w:p>
        </w:tc>
        <w:tc>
          <w:tcPr>
            <w:tcW w:w="2976" w:type="dxa"/>
            <w:vAlign w:val="bottom"/>
          </w:tcPr>
          <w:p w14:paraId="50CE5DA5">
            <w:pPr>
              <w:rPr>
                <w:rFonts w:ascii="宋体" w:hAnsi="宋体" w:eastAsia="宋体" w:cs="宋体"/>
              </w:rPr>
            </w:pPr>
            <w:r>
              <w:rPr>
                <w:rFonts w:hint="eastAsia" w:ascii="宋体" w:hAnsi="宋体" w:eastAsia="宋体" w:cs="宋体"/>
              </w:rPr>
              <w:t>2个1G电口，4个1G光口，1T存储</w:t>
            </w:r>
          </w:p>
        </w:tc>
        <w:tc>
          <w:tcPr>
            <w:tcW w:w="1134" w:type="dxa"/>
            <w:vAlign w:val="bottom"/>
          </w:tcPr>
          <w:p w14:paraId="059CAEB4">
            <w:pPr>
              <w:jc w:val="center"/>
              <w:rPr>
                <w:rFonts w:ascii="宋体" w:hAnsi="宋体" w:eastAsia="宋体" w:cs="宋体"/>
              </w:rPr>
            </w:pPr>
            <w:r>
              <w:rPr>
                <w:rFonts w:hint="eastAsia" w:ascii="宋体" w:hAnsi="宋体" w:eastAsia="宋体" w:cs="宋体"/>
              </w:rPr>
              <w:t>3年</w:t>
            </w:r>
          </w:p>
        </w:tc>
        <w:tc>
          <w:tcPr>
            <w:tcW w:w="692" w:type="dxa"/>
            <w:vAlign w:val="bottom"/>
          </w:tcPr>
          <w:p w14:paraId="213700CB">
            <w:pPr>
              <w:jc w:val="center"/>
              <w:rPr>
                <w:rFonts w:ascii="宋体" w:hAnsi="宋体" w:eastAsia="宋体" w:cs="宋体"/>
                <w:color w:val="000000"/>
              </w:rPr>
            </w:pPr>
            <w:r>
              <w:rPr>
                <w:rFonts w:hint="eastAsia" w:ascii="宋体" w:hAnsi="宋体" w:eastAsia="宋体" w:cs="宋体"/>
              </w:rPr>
              <w:t>利旧</w:t>
            </w:r>
          </w:p>
        </w:tc>
      </w:tr>
      <w:tr w14:paraId="49B98A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bottom"/>
          </w:tcPr>
          <w:p w14:paraId="51353A5C">
            <w:pPr>
              <w:jc w:val="center"/>
              <w:rPr>
                <w:rFonts w:ascii="宋体" w:hAnsi="宋体" w:eastAsia="宋体" w:cs="宋体"/>
              </w:rPr>
            </w:pPr>
            <w:r>
              <w:rPr>
                <w:rFonts w:hint="eastAsia" w:ascii="宋体" w:hAnsi="宋体" w:eastAsia="宋体" w:cs="宋体"/>
              </w:rPr>
              <w:t>网站防毒墙</w:t>
            </w:r>
          </w:p>
        </w:tc>
        <w:tc>
          <w:tcPr>
            <w:tcW w:w="1403" w:type="dxa"/>
            <w:vAlign w:val="bottom"/>
          </w:tcPr>
          <w:p w14:paraId="19482AC9">
            <w:pPr>
              <w:jc w:val="center"/>
              <w:rPr>
                <w:rFonts w:ascii="宋体" w:hAnsi="宋体" w:eastAsia="宋体" w:cs="宋体"/>
              </w:rPr>
            </w:pPr>
            <w:r>
              <w:rPr>
                <w:rFonts w:hint="eastAsia" w:ascii="宋体" w:hAnsi="宋体" w:eastAsia="宋体" w:cs="宋体"/>
              </w:rPr>
              <w:t>AIS Edge EE(EE)V7.0 E980</w:t>
            </w:r>
          </w:p>
        </w:tc>
        <w:tc>
          <w:tcPr>
            <w:tcW w:w="1163" w:type="dxa"/>
            <w:vAlign w:val="center"/>
          </w:tcPr>
          <w:p w14:paraId="2BC2CBAC">
            <w:pPr>
              <w:jc w:val="center"/>
              <w:rPr>
                <w:rFonts w:ascii="宋体" w:hAnsi="宋体" w:eastAsia="宋体" w:cs="宋体"/>
              </w:rPr>
            </w:pPr>
            <w:r>
              <w:rPr>
                <w:rFonts w:hint="eastAsia" w:ascii="宋体" w:hAnsi="宋体" w:eastAsia="宋体" w:cs="宋体"/>
              </w:rPr>
              <w:t>亚信</w:t>
            </w:r>
          </w:p>
        </w:tc>
        <w:tc>
          <w:tcPr>
            <w:tcW w:w="498" w:type="dxa"/>
            <w:vAlign w:val="bottom"/>
          </w:tcPr>
          <w:p w14:paraId="4865AD57">
            <w:pPr>
              <w:jc w:val="center"/>
              <w:rPr>
                <w:rFonts w:ascii="宋体" w:hAnsi="宋体" w:eastAsia="宋体" w:cs="宋体"/>
              </w:rPr>
            </w:pPr>
            <w:r>
              <w:rPr>
                <w:rFonts w:hint="eastAsia" w:ascii="宋体" w:hAnsi="宋体" w:eastAsia="宋体" w:cs="宋体"/>
              </w:rPr>
              <w:t>1</w:t>
            </w:r>
          </w:p>
        </w:tc>
        <w:tc>
          <w:tcPr>
            <w:tcW w:w="2976" w:type="dxa"/>
            <w:vAlign w:val="bottom"/>
          </w:tcPr>
          <w:p w14:paraId="14F616A8">
            <w:pPr>
              <w:rPr>
                <w:rFonts w:ascii="宋体" w:hAnsi="宋体" w:eastAsia="宋体" w:cs="宋体"/>
              </w:rPr>
            </w:pPr>
            <w:r>
              <w:rPr>
                <w:rFonts w:hint="eastAsia" w:ascii="宋体" w:hAnsi="宋体" w:eastAsia="宋体" w:cs="宋体"/>
              </w:rPr>
              <w:t>8个1G电口，2个1G光口，1T存储</w:t>
            </w:r>
          </w:p>
        </w:tc>
        <w:tc>
          <w:tcPr>
            <w:tcW w:w="1134" w:type="dxa"/>
            <w:vAlign w:val="bottom"/>
          </w:tcPr>
          <w:p w14:paraId="54C3E8BD">
            <w:pPr>
              <w:jc w:val="center"/>
              <w:rPr>
                <w:rFonts w:ascii="宋体" w:hAnsi="宋体" w:eastAsia="宋体" w:cs="宋体"/>
              </w:rPr>
            </w:pPr>
            <w:r>
              <w:rPr>
                <w:rFonts w:hint="eastAsia" w:ascii="宋体" w:hAnsi="宋体" w:eastAsia="宋体" w:cs="宋体"/>
              </w:rPr>
              <w:t>3年</w:t>
            </w:r>
          </w:p>
        </w:tc>
        <w:tc>
          <w:tcPr>
            <w:tcW w:w="692" w:type="dxa"/>
            <w:vAlign w:val="bottom"/>
          </w:tcPr>
          <w:p w14:paraId="7952ED57">
            <w:pPr>
              <w:jc w:val="center"/>
              <w:rPr>
                <w:rFonts w:ascii="宋体" w:hAnsi="宋体" w:eastAsia="宋体" w:cs="宋体"/>
                <w:color w:val="000000"/>
              </w:rPr>
            </w:pPr>
            <w:r>
              <w:rPr>
                <w:rFonts w:hint="eastAsia" w:ascii="宋体" w:hAnsi="宋体" w:eastAsia="宋体" w:cs="宋体"/>
              </w:rPr>
              <w:t>利旧</w:t>
            </w:r>
          </w:p>
        </w:tc>
      </w:tr>
      <w:tr w14:paraId="22495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jc w:val="center"/>
        </w:trPr>
        <w:tc>
          <w:tcPr>
            <w:tcW w:w="9062" w:type="dxa"/>
            <w:gridSpan w:val="6"/>
            <w:shd w:val="clear" w:color="auto" w:fill="E7E6E6"/>
            <w:vAlign w:val="center"/>
          </w:tcPr>
          <w:p w14:paraId="476E5DE3">
            <w:pPr>
              <w:pStyle w:val="20"/>
              <w:jc w:val="center"/>
              <w:rPr>
                <w:rFonts w:ascii="宋体" w:hAnsi="宋体" w:eastAsia="宋体" w:cs="宋体"/>
              </w:rPr>
            </w:pPr>
            <w:r>
              <w:rPr>
                <w:rFonts w:hint="eastAsia" w:ascii="宋体" w:hAnsi="宋体" w:eastAsia="宋体" w:cs="宋体"/>
              </w:rPr>
              <w:t>翡翠湖校区</w:t>
            </w:r>
          </w:p>
        </w:tc>
        <w:tc>
          <w:tcPr>
            <w:tcW w:w="692" w:type="dxa"/>
            <w:shd w:val="clear" w:color="auto" w:fill="E7E6E6"/>
            <w:vAlign w:val="center"/>
          </w:tcPr>
          <w:p w14:paraId="32A67800">
            <w:pPr>
              <w:pStyle w:val="20"/>
              <w:jc w:val="center"/>
              <w:rPr>
                <w:rFonts w:ascii="宋体" w:hAnsi="宋体" w:eastAsia="宋体" w:cs="宋体"/>
              </w:rPr>
            </w:pPr>
          </w:p>
        </w:tc>
      </w:tr>
      <w:tr w14:paraId="15DAB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5968B11">
            <w:pPr>
              <w:pStyle w:val="20"/>
              <w:jc w:val="center"/>
              <w:rPr>
                <w:rFonts w:ascii="宋体" w:hAnsi="宋体" w:eastAsia="宋体" w:cs="宋体"/>
              </w:rPr>
            </w:pPr>
            <w:r>
              <w:rPr>
                <w:rFonts w:hint="eastAsia" w:ascii="宋体" w:hAnsi="宋体" w:eastAsia="宋体" w:cs="宋体"/>
              </w:rPr>
              <w:t>有线核心交换</w:t>
            </w:r>
            <w:r>
              <w:rPr>
                <w:rFonts w:hint="eastAsia" w:ascii="宋体" w:hAnsi="宋体" w:eastAsia="宋体" w:cs="宋体"/>
                <w:spacing w:val="-10"/>
              </w:rPr>
              <w:t>机</w:t>
            </w:r>
          </w:p>
        </w:tc>
        <w:tc>
          <w:tcPr>
            <w:tcW w:w="1403" w:type="dxa"/>
          </w:tcPr>
          <w:p w14:paraId="71FEA569">
            <w:pPr>
              <w:pStyle w:val="20"/>
              <w:jc w:val="center"/>
              <w:rPr>
                <w:rFonts w:ascii="宋体" w:hAnsi="宋体" w:eastAsia="宋体" w:cs="宋体"/>
              </w:rPr>
            </w:pPr>
          </w:p>
          <w:p w14:paraId="7319FEC8">
            <w:pPr>
              <w:pStyle w:val="20"/>
              <w:jc w:val="center"/>
              <w:rPr>
                <w:rFonts w:ascii="宋体" w:hAnsi="宋体" w:eastAsia="宋体" w:cs="宋体"/>
              </w:rPr>
            </w:pPr>
            <w:r>
              <w:rPr>
                <w:rFonts w:hint="eastAsia" w:ascii="宋体" w:hAnsi="宋体" w:eastAsia="宋体" w:cs="宋体"/>
              </w:rPr>
              <w:t>N7K-C7010</w:t>
            </w:r>
          </w:p>
        </w:tc>
        <w:tc>
          <w:tcPr>
            <w:tcW w:w="1163" w:type="dxa"/>
          </w:tcPr>
          <w:p w14:paraId="6183D1F5">
            <w:pPr>
              <w:pStyle w:val="20"/>
              <w:jc w:val="center"/>
              <w:rPr>
                <w:rFonts w:ascii="宋体" w:hAnsi="宋体" w:eastAsia="宋体" w:cs="宋体"/>
              </w:rPr>
            </w:pPr>
          </w:p>
          <w:p w14:paraId="57B394F7">
            <w:pPr>
              <w:pStyle w:val="20"/>
              <w:jc w:val="center"/>
              <w:rPr>
                <w:rFonts w:ascii="宋体" w:hAnsi="宋体" w:eastAsia="宋体" w:cs="宋体"/>
              </w:rPr>
            </w:pPr>
            <w:r>
              <w:rPr>
                <w:rFonts w:hint="eastAsia" w:ascii="宋体" w:hAnsi="宋体" w:eastAsia="宋体" w:cs="宋体"/>
              </w:rPr>
              <w:t>思科</w:t>
            </w:r>
          </w:p>
        </w:tc>
        <w:tc>
          <w:tcPr>
            <w:tcW w:w="498" w:type="dxa"/>
          </w:tcPr>
          <w:p w14:paraId="16D3D044">
            <w:pPr>
              <w:pStyle w:val="20"/>
              <w:jc w:val="center"/>
              <w:rPr>
                <w:rFonts w:ascii="宋体" w:hAnsi="宋体" w:eastAsia="宋体" w:cs="宋体"/>
              </w:rPr>
            </w:pPr>
          </w:p>
          <w:p w14:paraId="710B1A51">
            <w:pPr>
              <w:pStyle w:val="20"/>
              <w:jc w:val="center"/>
              <w:rPr>
                <w:rFonts w:ascii="宋体" w:hAnsi="宋体" w:eastAsia="宋体" w:cs="宋体"/>
              </w:rPr>
            </w:pPr>
            <w:r>
              <w:rPr>
                <w:rFonts w:hint="eastAsia" w:ascii="宋体" w:hAnsi="宋体" w:eastAsia="宋体" w:cs="宋体"/>
              </w:rPr>
              <w:t>1</w:t>
            </w:r>
          </w:p>
        </w:tc>
        <w:tc>
          <w:tcPr>
            <w:tcW w:w="2976" w:type="dxa"/>
          </w:tcPr>
          <w:p w14:paraId="15FA0DD9">
            <w:pPr>
              <w:pStyle w:val="20"/>
              <w:rPr>
                <w:rFonts w:ascii="宋体" w:hAnsi="宋体" w:eastAsia="宋体" w:cs="宋体"/>
              </w:rPr>
            </w:pPr>
            <w:r>
              <w:rPr>
                <w:rFonts w:hint="eastAsia" w:ascii="宋体" w:hAnsi="宋体" w:eastAsia="宋体" w:cs="宋体"/>
              </w:rPr>
              <w:t xml:space="preserve">交换容量 </w:t>
            </w:r>
            <w:r>
              <w:rPr>
                <w:rFonts w:hint="eastAsia" w:ascii="宋体" w:hAnsi="宋体" w:eastAsia="宋体" w:cs="宋体"/>
                <w:spacing w:val="-4"/>
              </w:rPr>
              <w:t>9.9</w:t>
            </w:r>
            <w:r>
              <w:rPr>
                <w:rFonts w:hint="eastAsia" w:ascii="宋体" w:hAnsi="宋体" w:eastAsia="宋体" w:cs="宋体"/>
                <w:spacing w:val="-25"/>
              </w:rPr>
              <w:t xml:space="preserve"> </w:t>
            </w:r>
            <w:r>
              <w:rPr>
                <w:rFonts w:hint="eastAsia" w:ascii="宋体" w:hAnsi="宋体" w:eastAsia="宋体" w:cs="宋体"/>
                <w:spacing w:val="-4"/>
              </w:rPr>
              <w:t>Tbps，2</w:t>
            </w:r>
            <w:r>
              <w:rPr>
                <w:rFonts w:hint="eastAsia" w:ascii="宋体" w:hAnsi="宋体" w:eastAsia="宋体" w:cs="宋体"/>
              </w:rPr>
              <w:t xml:space="preserve"> 个主控槽位，</w:t>
            </w:r>
            <w:r>
              <w:rPr>
                <w:rFonts w:hint="eastAsia" w:ascii="宋体" w:hAnsi="宋体" w:eastAsia="宋体" w:cs="宋体"/>
                <w:spacing w:val="-4"/>
              </w:rPr>
              <w:t>5</w:t>
            </w:r>
            <w:r>
              <w:rPr>
                <w:rFonts w:hint="eastAsia" w:ascii="宋体" w:hAnsi="宋体" w:eastAsia="宋体" w:cs="宋体"/>
                <w:spacing w:val="-6"/>
              </w:rPr>
              <w:t>个交换网板槽位，8</w:t>
            </w:r>
            <w:r>
              <w:rPr>
                <w:rFonts w:hint="eastAsia" w:ascii="宋体" w:hAnsi="宋体" w:eastAsia="宋体" w:cs="宋体"/>
                <w:spacing w:val="-11"/>
              </w:rPr>
              <w:t xml:space="preserve"> 个业务槽位</w:t>
            </w:r>
            <w:r>
              <w:rPr>
                <w:rFonts w:hint="eastAsia" w:ascii="宋体" w:hAnsi="宋体" w:eastAsia="宋体" w:cs="宋体"/>
                <w:spacing w:val="-6"/>
              </w:rPr>
              <w:t>，3</w:t>
            </w:r>
            <w:r>
              <w:rPr>
                <w:rFonts w:hint="eastAsia" w:ascii="宋体" w:hAnsi="宋体" w:eastAsia="宋体" w:cs="宋体"/>
                <w:spacing w:val="-15"/>
              </w:rPr>
              <w:t xml:space="preserve"> 个</w:t>
            </w:r>
            <w:r>
              <w:rPr>
                <w:rFonts w:hint="eastAsia" w:ascii="宋体" w:hAnsi="宋体" w:eastAsia="宋体" w:cs="宋体"/>
                <w:spacing w:val="-2"/>
              </w:rPr>
              <w:t>模块化电源槽位</w:t>
            </w:r>
          </w:p>
        </w:tc>
        <w:tc>
          <w:tcPr>
            <w:tcW w:w="1134" w:type="dxa"/>
          </w:tcPr>
          <w:p w14:paraId="2CEE997E">
            <w:pPr>
              <w:pStyle w:val="20"/>
              <w:jc w:val="center"/>
              <w:rPr>
                <w:rFonts w:ascii="宋体" w:hAnsi="宋体" w:eastAsia="宋体" w:cs="宋体"/>
              </w:rPr>
            </w:pPr>
            <w:r>
              <w:rPr>
                <w:rFonts w:hint="eastAsia" w:ascii="宋体" w:hAnsi="宋体" w:eastAsia="宋体" w:cs="宋体"/>
              </w:rPr>
              <w:t>2011</w:t>
            </w:r>
            <w:r>
              <w:rPr>
                <w:rFonts w:hint="eastAsia" w:ascii="宋体" w:hAnsi="宋体" w:eastAsia="宋体" w:cs="宋体"/>
                <w:spacing w:val="-24"/>
              </w:rPr>
              <w:t xml:space="preserve"> 年上</w:t>
            </w:r>
          </w:p>
          <w:p w14:paraId="6E3CAEDB">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5"/>
              </w:rPr>
              <w:t>13</w:t>
            </w:r>
            <w:r>
              <w:rPr>
                <w:rFonts w:hint="eastAsia" w:ascii="宋体" w:hAnsi="宋体" w:eastAsia="宋体" w:cs="宋体"/>
              </w:rPr>
              <w:t>年</w:t>
            </w:r>
          </w:p>
        </w:tc>
        <w:tc>
          <w:tcPr>
            <w:tcW w:w="692" w:type="dxa"/>
          </w:tcPr>
          <w:p w14:paraId="7E32AFE9">
            <w:pPr>
              <w:jc w:val="center"/>
              <w:rPr>
                <w:rFonts w:ascii="宋体" w:hAnsi="宋体" w:eastAsia="宋体" w:cs="宋体"/>
              </w:rPr>
            </w:pPr>
            <w:r>
              <w:rPr>
                <w:rFonts w:hint="eastAsia" w:ascii="宋体" w:hAnsi="宋体" w:eastAsia="宋体" w:cs="宋体"/>
              </w:rPr>
              <w:t>淘汰</w:t>
            </w:r>
          </w:p>
        </w:tc>
      </w:tr>
      <w:tr w14:paraId="35430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20F72D4A">
            <w:pPr>
              <w:pStyle w:val="20"/>
              <w:jc w:val="center"/>
              <w:rPr>
                <w:rFonts w:ascii="宋体" w:hAnsi="宋体" w:eastAsia="宋体" w:cs="宋体"/>
              </w:rPr>
            </w:pPr>
            <w:r>
              <w:rPr>
                <w:rFonts w:hint="eastAsia" w:ascii="宋体" w:hAnsi="宋体" w:eastAsia="宋体" w:cs="宋体"/>
              </w:rPr>
              <w:t>无线核心交换</w:t>
            </w:r>
            <w:r>
              <w:rPr>
                <w:rFonts w:hint="eastAsia" w:ascii="宋体" w:hAnsi="宋体" w:eastAsia="宋体" w:cs="宋体"/>
                <w:spacing w:val="-10"/>
              </w:rPr>
              <w:t>机</w:t>
            </w:r>
          </w:p>
        </w:tc>
        <w:tc>
          <w:tcPr>
            <w:tcW w:w="1403" w:type="dxa"/>
          </w:tcPr>
          <w:p w14:paraId="03D056F3">
            <w:pPr>
              <w:pStyle w:val="20"/>
              <w:jc w:val="center"/>
              <w:rPr>
                <w:rFonts w:ascii="宋体" w:hAnsi="宋体" w:eastAsia="宋体" w:cs="宋体"/>
              </w:rPr>
            </w:pPr>
          </w:p>
          <w:p w14:paraId="29296A58">
            <w:pPr>
              <w:pStyle w:val="20"/>
              <w:jc w:val="center"/>
              <w:rPr>
                <w:rFonts w:ascii="宋体" w:hAnsi="宋体" w:eastAsia="宋体" w:cs="宋体"/>
              </w:rPr>
            </w:pPr>
            <w:r>
              <w:rPr>
                <w:rFonts w:hint="eastAsia" w:ascii="宋体" w:hAnsi="宋体" w:eastAsia="宋体" w:cs="宋体"/>
              </w:rPr>
              <w:t>CN12706</w:t>
            </w:r>
          </w:p>
        </w:tc>
        <w:tc>
          <w:tcPr>
            <w:tcW w:w="1163" w:type="dxa"/>
          </w:tcPr>
          <w:p w14:paraId="00527367">
            <w:pPr>
              <w:pStyle w:val="20"/>
              <w:jc w:val="center"/>
              <w:rPr>
                <w:rFonts w:ascii="宋体" w:hAnsi="宋体" w:eastAsia="宋体" w:cs="宋体"/>
              </w:rPr>
            </w:pPr>
          </w:p>
          <w:p w14:paraId="653FCF65">
            <w:pPr>
              <w:pStyle w:val="20"/>
              <w:jc w:val="center"/>
              <w:rPr>
                <w:rFonts w:ascii="宋体" w:hAnsi="宋体" w:eastAsia="宋体" w:cs="宋体"/>
              </w:rPr>
            </w:pPr>
            <w:r>
              <w:rPr>
                <w:rFonts w:hint="eastAsia" w:ascii="宋体" w:hAnsi="宋体" w:eastAsia="宋体" w:cs="宋体"/>
              </w:rPr>
              <w:t>思科</w:t>
            </w:r>
          </w:p>
        </w:tc>
        <w:tc>
          <w:tcPr>
            <w:tcW w:w="498" w:type="dxa"/>
          </w:tcPr>
          <w:p w14:paraId="1EE09728">
            <w:pPr>
              <w:pStyle w:val="20"/>
              <w:jc w:val="center"/>
              <w:rPr>
                <w:rFonts w:ascii="宋体" w:hAnsi="宋体" w:eastAsia="宋体" w:cs="宋体"/>
              </w:rPr>
            </w:pPr>
          </w:p>
          <w:p w14:paraId="308857C4">
            <w:pPr>
              <w:pStyle w:val="20"/>
              <w:jc w:val="center"/>
              <w:rPr>
                <w:rFonts w:ascii="宋体" w:hAnsi="宋体" w:eastAsia="宋体" w:cs="宋体"/>
              </w:rPr>
            </w:pPr>
            <w:r>
              <w:rPr>
                <w:rFonts w:hint="eastAsia" w:ascii="宋体" w:hAnsi="宋体" w:eastAsia="宋体" w:cs="宋体"/>
              </w:rPr>
              <w:t>1</w:t>
            </w:r>
          </w:p>
        </w:tc>
        <w:tc>
          <w:tcPr>
            <w:tcW w:w="2976" w:type="dxa"/>
          </w:tcPr>
          <w:p w14:paraId="410E697C">
            <w:pPr>
              <w:pStyle w:val="20"/>
              <w:rPr>
                <w:rFonts w:ascii="宋体" w:hAnsi="宋体" w:eastAsia="宋体" w:cs="宋体"/>
                <w:spacing w:val="-9"/>
              </w:rPr>
            </w:pPr>
            <w:r>
              <w:rPr>
                <w:rFonts w:hint="eastAsia" w:ascii="宋体" w:hAnsi="宋体" w:eastAsia="宋体" w:cs="宋体"/>
              </w:rPr>
              <w:t>交换容量 21Tbps，2 个主控引擎槽</w:t>
            </w:r>
            <w:r>
              <w:rPr>
                <w:rFonts w:hint="eastAsia" w:ascii="宋体" w:hAnsi="宋体" w:eastAsia="宋体" w:cs="宋体"/>
                <w:spacing w:val="-2"/>
              </w:rPr>
              <w:t>位，6</w:t>
            </w:r>
            <w:r>
              <w:rPr>
                <w:rFonts w:hint="eastAsia" w:ascii="宋体" w:hAnsi="宋体" w:eastAsia="宋体" w:cs="宋体"/>
                <w:spacing w:val="-10"/>
              </w:rPr>
              <w:t xml:space="preserve"> 个交换网板槽位</w:t>
            </w:r>
            <w:r>
              <w:rPr>
                <w:rFonts w:hint="eastAsia" w:ascii="宋体" w:hAnsi="宋体" w:eastAsia="宋体" w:cs="宋体"/>
                <w:spacing w:val="-2"/>
              </w:rPr>
              <w:t>，4</w:t>
            </w:r>
            <w:r>
              <w:rPr>
                <w:rFonts w:hint="eastAsia" w:ascii="宋体" w:hAnsi="宋体" w:eastAsia="宋体" w:cs="宋体"/>
                <w:spacing w:val="-14"/>
              </w:rPr>
              <w:t xml:space="preserve"> 个业务槽</w:t>
            </w:r>
            <w:r>
              <w:rPr>
                <w:rFonts w:hint="eastAsia" w:ascii="宋体" w:hAnsi="宋体" w:eastAsia="宋体" w:cs="宋体"/>
              </w:rPr>
              <w:t>位，4</w:t>
            </w:r>
            <w:r>
              <w:rPr>
                <w:rFonts w:hint="eastAsia" w:ascii="宋体" w:hAnsi="宋体" w:eastAsia="宋体" w:cs="宋体"/>
                <w:spacing w:val="-7"/>
              </w:rPr>
              <w:t xml:space="preserve"> 个模块化电源槽位</w:t>
            </w:r>
          </w:p>
        </w:tc>
        <w:tc>
          <w:tcPr>
            <w:tcW w:w="1134" w:type="dxa"/>
          </w:tcPr>
          <w:p w14:paraId="341C9C16">
            <w:pPr>
              <w:pStyle w:val="20"/>
              <w:jc w:val="center"/>
              <w:rPr>
                <w:rFonts w:ascii="宋体" w:hAnsi="宋体" w:eastAsia="宋体" w:cs="宋体"/>
              </w:rPr>
            </w:pPr>
            <w:r>
              <w:rPr>
                <w:rFonts w:hint="eastAsia" w:ascii="宋体" w:hAnsi="宋体" w:eastAsia="宋体" w:cs="宋体"/>
              </w:rPr>
              <w:t>2017年上线，7年</w:t>
            </w:r>
          </w:p>
        </w:tc>
        <w:tc>
          <w:tcPr>
            <w:tcW w:w="692" w:type="dxa"/>
          </w:tcPr>
          <w:p w14:paraId="4EC89FFD">
            <w:pPr>
              <w:jc w:val="center"/>
              <w:rPr>
                <w:rFonts w:ascii="宋体" w:hAnsi="宋体" w:eastAsia="宋体" w:cs="宋体"/>
              </w:rPr>
            </w:pPr>
            <w:r>
              <w:rPr>
                <w:rFonts w:hint="eastAsia" w:ascii="宋体" w:hAnsi="宋体" w:eastAsia="宋体" w:cs="宋体"/>
              </w:rPr>
              <w:t>利旧</w:t>
            </w:r>
          </w:p>
        </w:tc>
      </w:tr>
      <w:tr w14:paraId="198D8B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31768A60">
            <w:pPr>
              <w:pStyle w:val="20"/>
              <w:jc w:val="center"/>
              <w:rPr>
                <w:rFonts w:ascii="宋体" w:hAnsi="宋体" w:eastAsia="宋体" w:cs="宋体"/>
              </w:rPr>
            </w:pPr>
          </w:p>
          <w:p w14:paraId="204C8DB7">
            <w:pPr>
              <w:pStyle w:val="20"/>
              <w:jc w:val="center"/>
              <w:rPr>
                <w:rFonts w:ascii="宋体" w:hAnsi="宋体" w:eastAsia="宋体" w:cs="宋体"/>
              </w:rPr>
            </w:pPr>
            <w:r>
              <w:rPr>
                <w:rFonts w:hint="eastAsia" w:ascii="宋体" w:hAnsi="宋体" w:eastAsia="宋体" w:cs="宋体"/>
              </w:rPr>
              <w:t>科教楼</w:t>
            </w:r>
            <w:r>
              <w:rPr>
                <w:rFonts w:hint="eastAsia" w:ascii="宋体" w:hAnsi="宋体" w:eastAsia="宋体" w:cs="宋体"/>
                <w:spacing w:val="-6"/>
              </w:rPr>
              <w:t>汇聚</w:t>
            </w:r>
          </w:p>
        </w:tc>
        <w:tc>
          <w:tcPr>
            <w:tcW w:w="1403" w:type="dxa"/>
          </w:tcPr>
          <w:p w14:paraId="6355D93C">
            <w:pPr>
              <w:pStyle w:val="20"/>
              <w:jc w:val="center"/>
              <w:rPr>
                <w:rFonts w:ascii="宋体" w:hAnsi="宋体" w:eastAsia="宋体" w:cs="宋体"/>
              </w:rPr>
            </w:pPr>
          </w:p>
          <w:p w14:paraId="0C0D18B5">
            <w:pPr>
              <w:pStyle w:val="20"/>
              <w:jc w:val="center"/>
              <w:rPr>
                <w:rFonts w:ascii="宋体" w:hAnsi="宋体" w:eastAsia="宋体" w:cs="宋体"/>
              </w:rPr>
            </w:pPr>
            <w:r>
              <w:rPr>
                <w:rFonts w:hint="eastAsia" w:ascii="宋体" w:hAnsi="宋体" w:eastAsia="宋体" w:cs="宋体"/>
              </w:rPr>
              <w:t>RG-S8606</w:t>
            </w:r>
          </w:p>
        </w:tc>
        <w:tc>
          <w:tcPr>
            <w:tcW w:w="1163" w:type="dxa"/>
          </w:tcPr>
          <w:p w14:paraId="1655BC57">
            <w:pPr>
              <w:pStyle w:val="20"/>
              <w:jc w:val="center"/>
              <w:rPr>
                <w:rFonts w:ascii="宋体" w:hAnsi="宋体" w:eastAsia="宋体" w:cs="宋体"/>
              </w:rPr>
            </w:pPr>
          </w:p>
          <w:p w14:paraId="25FE4C6B">
            <w:pPr>
              <w:pStyle w:val="20"/>
              <w:jc w:val="center"/>
              <w:rPr>
                <w:rFonts w:ascii="宋体" w:hAnsi="宋体" w:eastAsia="宋体" w:cs="宋体"/>
              </w:rPr>
            </w:pPr>
            <w:r>
              <w:rPr>
                <w:rFonts w:hint="eastAsia" w:ascii="宋体" w:hAnsi="宋体" w:eastAsia="宋体" w:cs="宋体"/>
              </w:rPr>
              <w:t>锐捷</w:t>
            </w:r>
          </w:p>
        </w:tc>
        <w:tc>
          <w:tcPr>
            <w:tcW w:w="498" w:type="dxa"/>
          </w:tcPr>
          <w:p w14:paraId="11FB5734">
            <w:pPr>
              <w:pStyle w:val="20"/>
              <w:jc w:val="center"/>
              <w:rPr>
                <w:rFonts w:ascii="宋体" w:hAnsi="宋体" w:eastAsia="宋体" w:cs="宋体"/>
              </w:rPr>
            </w:pPr>
          </w:p>
          <w:p w14:paraId="693E3C22">
            <w:pPr>
              <w:pStyle w:val="20"/>
              <w:jc w:val="center"/>
              <w:rPr>
                <w:rFonts w:ascii="宋体" w:hAnsi="宋体" w:eastAsia="宋体" w:cs="宋体"/>
              </w:rPr>
            </w:pPr>
            <w:r>
              <w:rPr>
                <w:rFonts w:hint="eastAsia" w:ascii="宋体" w:hAnsi="宋体" w:eastAsia="宋体" w:cs="宋体"/>
              </w:rPr>
              <w:t>1</w:t>
            </w:r>
          </w:p>
        </w:tc>
        <w:tc>
          <w:tcPr>
            <w:tcW w:w="2976" w:type="dxa"/>
          </w:tcPr>
          <w:p w14:paraId="512616B9">
            <w:pPr>
              <w:pStyle w:val="20"/>
              <w:rPr>
                <w:rFonts w:ascii="宋体" w:hAnsi="宋体" w:eastAsia="宋体" w:cs="宋体"/>
                <w:spacing w:val="-9"/>
              </w:rPr>
            </w:pPr>
            <w:r>
              <w:rPr>
                <w:rFonts w:hint="eastAsia" w:ascii="宋体" w:hAnsi="宋体" w:eastAsia="宋体" w:cs="宋体"/>
                <w:spacing w:val="-12"/>
              </w:rPr>
              <w:t xml:space="preserve">交换容量 </w:t>
            </w:r>
            <w:r>
              <w:rPr>
                <w:rFonts w:hint="eastAsia" w:ascii="宋体" w:hAnsi="宋体" w:eastAsia="宋体" w:cs="宋体"/>
              </w:rPr>
              <w:t>12Tbps，</w:t>
            </w:r>
            <w:r>
              <w:rPr>
                <w:rFonts w:hint="eastAsia" w:ascii="宋体" w:hAnsi="宋体" w:eastAsia="宋体" w:cs="宋体"/>
                <w:spacing w:val="-20"/>
              </w:rPr>
              <w:t xml:space="preserve">包转 </w:t>
            </w:r>
            <w:r>
              <w:rPr>
                <w:rFonts w:hint="eastAsia" w:ascii="宋体" w:hAnsi="宋体" w:eastAsia="宋体" w:cs="宋体"/>
                <w:spacing w:val="-2"/>
              </w:rPr>
              <w:t>1440Mpps，2</w:t>
            </w:r>
            <w:r>
              <w:rPr>
                <w:rFonts w:hint="eastAsia" w:ascii="宋体" w:hAnsi="宋体" w:eastAsia="宋体" w:cs="宋体"/>
              </w:rPr>
              <w:t>个主控槽位，4</w:t>
            </w:r>
            <w:r>
              <w:rPr>
                <w:rFonts w:hint="eastAsia" w:ascii="宋体" w:hAnsi="宋体" w:eastAsia="宋体" w:cs="宋体"/>
                <w:spacing w:val="-12"/>
              </w:rPr>
              <w:t xml:space="preserve"> 个业务槽位</w:t>
            </w:r>
          </w:p>
        </w:tc>
        <w:tc>
          <w:tcPr>
            <w:tcW w:w="1134" w:type="dxa"/>
          </w:tcPr>
          <w:p w14:paraId="1E93AA5A">
            <w:pPr>
              <w:pStyle w:val="20"/>
              <w:jc w:val="center"/>
              <w:rPr>
                <w:rFonts w:ascii="宋体" w:hAnsi="宋体" w:eastAsia="宋体" w:cs="宋体"/>
              </w:rPr>
            </w:pPr>
            <w:r>
              <w:rPr>
                <w:rFonts w:hint="eastAsia" w:ascii="宋体" w:hAnsi="宋体" w:eastAsia="宋体" w:cs="宋体"/>
              </w:rPr>
              <w:t>2011</w:t>
            </w:r>
            <w:r>
              <w:rPr>
                <w:rFonts w:hint="eastAsia" w:ascii="宋体" w:hAnsi="宋体" w:eastAsia="宋体" w:cs="宋体"/>
                <w:spacing w:val="-24"/>
              </w:rPr>
              <w:t xml:space="preserve"> 年上</w:t>
            </w:r>
            <w:r>
              <w:rPr>
                <w:rFonts w:hint="eastAsia" w:ascii="宋体" w:hAnsi="宋体" w:eastAsia="宋体" w:cs="宋体"/>
                <w:spacing w:val="-12"/>
              </w:rPr>
              <w:t>线，</w:t>
            </w:r>
            <w:r>
              <w:rPr>
                <w:rFonts w:hint="eastAsia" w:ascii="宋体" w:hAnsi="宋体" w:eastAsia="宋体" w:cs="宋体"/>
                <w:spacing w:val="-5"/>
              </w:rPr>
              <w:t>13</w:t>
            </w:r>
            <w:r>
              <w:rPr>
                <w:rFonts w:hint="eastAsia" w:ascii="宋体" w:hAnsi="宋体" w:eastAsia="宋体" w:cs="宋体"/>
              </w:rPr>
              <w:t>年</w:t>
            </w:r>
          </w:p>
        </w:tc>
        <w:tc>
          <w:tcPr>
            <w:tcW w:w="692" w:type="dxa"/>
          </w:tcPr>
          <w:p w14:paraId="583F6B21">
            <w:pPr>
              <w:jc w:val="center"/>
              <w:rPr>
                <w:rFonts w:ascii="宋体" w:hAnsi="宋体" w:eastAsia="宋体" w:cs="宋体"/>
              </w:rPr>
            </w:pPr>
            <w:r>
              <w:rPr>
                <w:rFonts w:hint="eastAsia" w:ascii="宋体" w:hAnsi="宋体" w:eastAsia="宋体" w:cs="宋体"/>
              </w:rPr>
              <w:t>淘汰</w:t>
            </w:r>
          </w:p>
        </w:tc>
      </w:tr>
      <w:tr w14:paraId="6C14C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72466ECC">
            <w:pPr>
              <w:pStyle w:val="20"/>
              <w:jc w:val="center"/>
              <w:rPr>
                <w:rFonts w:ascii="宋体" w:hAnsi="宋体" w:eastAsia="宋体" w:cs="宋体"/>
              </w:rPr>
            </w:pPr>
          </w:p>
          <w:p w14:paraId="314B586D">
            <w:pPr>
              <w:pStyle w:val="20"/>
              <w:jc w:val="center"/>
              <w:rPr>
                <w:rFonts w:ascii="宋体" w:hAnsi="宋体" w:eastAsia="宋体" w:cs="宋体"/>
              </w:rPr>
            </w:pPr>
            <w:r>
              <w:rPr>
                <w:rFonts w:hint="eastAsia" w:ascii="宋体" w:hAnsi="宋体" w:eastAsia="宋体" w:cs="宋体"/>
              </w:rPr>
              <w:t>办公区</w:t>
            </w:r>
            <w:r>
              <w:rPr>
                <w:rFonts w:hint="eastAsia" w:ascii="宋体" w:hAnsi="宋体" w:eastAsia="宋体" w:cs="宋体"/>
                <w:spacing w:val="-6"/>
              </w:rPr>
              <w:t>汇聚</w:t>
            </w:r>
          </w:p>
        </w:tc>
        <w:tc>
          <w:tcPr>
            <w:tcW w:w="1403" w:type="dxa"/>
          </w:tcPr>
          <w:p w14:paraId="18F3A407">
            <w:pPr>
              <w:pStyle w:val="20"/>
              <w:jc w:val="center"/>
              <w:rPr>
                <w:rFonts w:ascii="宋体" w:hAnsi="宋体" w:eastAsia="宋体" w:cs="宋体"/>
              </w:rPr>
            </w:pPr>
          </w:p>
          <w:p w14:paraId="5855A2F8">
            <w:pPr>
              <w:pStyle w:val="20"/>
              <w:jc w:val="center"/>
              <w:rPr>
                <w:rFonts w:ascii="宋体" w:hAnsi="宋体" w:eastAsia="宋体" w:cs="宋体"/>
              </w:rPr>
            </w:pPr>
            <w:r>
              <w:rPr>
                <w:rFonts w:hint="eastAsia" w:ascii="宋体" w:hAnsi="宋体" w:eastAsia="宋体" w:cs="宋体"/>
              </w:rPr>
              <w:t>N9K-C9508</w:t>
            </w:r>
          </w:p>
        </w:tc>
        <w:tc>
          <w:tcPr>
            <w:tcW w:w="1163" w:type="dxa"/>
          </w:tcPr>
          <w:p w14:paraId="628AEE81">
            <w:pPr>
              <w:pStyle w:val="20"/>
              <w:jc w:val="center"/>
              <w:rPr>
                <w:rFonts w:ascii="宋体" w:hAnsi="宋体" w:eastAsia="宋体" w:cs="宋体"/>
              </w:rPr>
            </w:pPr>
          </w:p>
          <w:p w14:paraId="3CDF2DCC">
            <w:pPr>
              <w:pStyle w:val="20"/>
              <w:jc w:val="center"/>
              <w:rPr>
                <w:rFonts w:ascii="宋体" w:hAnsi="宋体" w:eastAsia="宋体" w:cs="宋体"/>
              </w:rPr>
            </w:pPr>
            <w:r>
              <w:rPr>
                <w:rFonts w:hint="eastAsia" w:ascii="宋体" w:hAnsi="宋体" w:eastAsia="宋体" w:cs="宋体"/>
              </w:rPr>
              <w:t>思科</w:t>
            </w:r>
          </w:p>
        </w:tc>
        <w:tc>
          <w:tcPr>
            <w:tcW w:w="498" w:type="dxa"/>
          </w:tcPr>
          <w:p w14:paraId="31B4AB68">
            <w:pPr>
              <w:pStyle w:val="20"/>
              <w:jc w:val="center"/>
              <w:rPr>
                <w:rFonts w:ascii="宋体" w:hAnsi="宋体" w:eastAsia="宋体" w:cs="宋体"/>
              </w:rPr>
            </w:pPr>
          </w:p>
          <w:p w14:paraId="7276351A">
            <w:pPr>
              <w:pStyle w:val="20"/>
              <w:jc w:val="center"/>
              <w:rPr>
                <w:rFonts w:ascii="宋体" w:hAnsi="宋体" w:eastAsia="宋体" w:cs="宋体"/>
              </w:rPr>
            </w:pPr>
            <w:r>
              <w:rPr>
                <w:rFonts w:hint="eastAsia" w:ascii="宋体" w:hAnsi="宋体" w:eastAsia="宋体" w:cs="宋体"/>
              </w:rPr>
              <w:t>1</w:t>
            </w:r>
          </w:p>
        </w:tc>
        <w:tc>
          <w:tcPr>
            <w:tcW w:w="2976" w:type="dxa"/>
          </w:tcPr>
          <w:p w14:paraId="77FA5039">
            <w:pPr>
              <w:pStyle w:val="20"/>
              <w:rPr>
                <w:rFonts w:ascii="宋体" w:hAnsi="宋体" w:eastAsia="宋体" w:cs="宋体"/>
                <w:spacing w:val="-9"/>
              </w:rPr>
            </w:pPr>
            <w:r>
              <w:rPr>
                <w:rFonts w:hint="eastAsia" w:ascii="宋体" w:hAnsi="宋体" w:eastAsia="宋体" w:cs="宋体"/>
              </w:rPr>
              <w:t>8</w:t>
            </w:r>
            <w:r>
              <w:rPr>
                <w:rFonts w:hint="eastAsia" w:ascii="宋体" w:hAnsi="宋体" w:eastAsia="宋体" w:cs="宋体"/>
                <w:spacing w:val="-9"/>
              </w:rPr>
              <w:t xml:space="preserve"> 个业务槽位，每个插槽最多可提</w:t>
            </w:r>
            <w:r>
              <w:rPr>
                <w:rFonts w:hint="eastAsia" w:ascii="宋体" w:hAnsi="宋体" w:eastAsia="宋体" w:cs="宋体"/>
                <w:spacing w:val="-10"/>
              </w:rPr>
              <w:t>供</w:t>
            </w:r>
            <w:r>
              <w:rPr>
                <w:rFonts w:hint="eastAsia" w:ascii="宋体" w:hAnsi="宋体" w:eastAsia="宋体" w:cs="宋体"/>
              </w:rPr>
              <w:t>9.6 Tbps</w:t>
            </w:r>
            <w:r>
              <w:rPr>
                <w:rFonts w:hint="eastAsia" w:ascii="宋体" w:hAnsi="宋体" w:eastAsia="宋体" w:cs="宋体"/>
                <w:spacing w:val="-4"/>
              </w:rPr>
              <w:t>的带宽，8插槽机箱</w:t>
            </w:r>
            <w:r>
              <w:rPr>
                <w:rFonts w:hint="eastAsia" w:ascii="宋体" w:hAnsi="宋体" w:eastAsia="宋体" w:cs="宋体"/>
              </w:rPr>
              <w:t>的总带宽共计76.8 Tbps</w:t>
            </w:r>
          </w:p>
        </w:tc>
        <w:tc>
          <w:tcPr>
            <w:tcW w:w="1134" w:type="dxa"/>
          </w:tcPr>
          <w:p w14:paraId="10A2E080">
            <w:pPr>
              <w:pStyle w:val="20"/>
              <w:jc w:val="center"/>
              <w:rPr>
                <w:rFonts w:ascii="宋体" w:hAnsi="宋体" w:eastAsia="宋体" w:cs="宋体"/>
              </w:rPr>
            </w:pPr>
            <w:r>
              <w:rPr>
                <w:rFonts w:hint="eastAsia" w:ascii="宋体" w:hAnsi="宋体" w:eastAsia="宋体" w:cs="宋体"/>
              </w:rPr>
              <w:t>2016年上线，8年</w:t>
            </w:r>
          </w:p>
        </w:tc>
        <w:tc>
          <w:tcPr>
            <w:tcW w:w="692" w:type="dxa"/>
          </w:tcPr>
          <w:p w14:paraId="59BB9A86">
            <w:pPr>
              <w:jc w:val="center"/>
              <w:rPr>
                <w:rFonts w:ascii="宋体" w:hAnsi="宋体" w:eastAsia="宋体" w:cs="宋体"/>
              </w:rPr>
            </w:pPr>
            <w:r>
              <w:rPr>
                <w:rFonts w:hint="eastAsia" w:ascii="宋体" w:hAnsi="宋体" w:eastAsia="宋体" w:cs="宋体"/>
              </w:rPr>
              <w:t>利旧</w:t>
            </w:r>
          </w:p>
        </w:tc>
      </w:tr>
      <w:tr w14:paraId="16B8C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6350428B">
            <w:pPr>
              <w:pStyle w:val="20"/>
              <w:jc w:val="center"/>
              <w:rPr>
                <w:rFonts w:ascii="宋体" w:hAnsi="宋体" w:eastAsia="宋体" w:cs="宋体"/>
              </w:rPr>
            </w:pPr>
          </w:p>
          <w:p w14:paraId="47FA8D32">
            <w:pPr>
              <w:pStyle w:val="20"/>
              <w:jc w:val="center"/>
              <w:rPr>
                <w:rFonts w:ascii="宋体" w:hAnsi="宋体" w:eastAsia="宋体" w:cs="宋体"/>
              </w:rPr>
            </w:pPr>
            <w:r>
              <w:rPr>
                <w:rFonts w:hint="eastAsia" w:ascii="宋体" w:hAnsi="宋体" w:eastAsia="宋体" w:cs="宋体"/>
              </w:rPr>
              <w:t>本科楼</w:t>
            </w:r>
            <w:r>
              <w:rPr>
                <w:rFonts w:hint="eastAsia" w:ascii="宋体" w:hAnsi="宋体" w:eastAsia="宋体" w:cs="宋体"/>
                <w:spacing w:val="-6"/>
              </w:rPr>
              <w:t>汇聚</w:t>
            </w:r>
          </w:p>
        </w:tc>
        <w:tc>
          <w:tcPr>
            <w:tcW w:w="1403" w:type="dxa"/>
          </w:tcPr>
          <w:p w14:paraId="54C223DC">
            <w:pPr>
              <w:pStyle w:val="20"/>
              <w:jc w:val="center"/>
              <w:rPr>
                <w:rFonts w:ascii="宋体" w:hAnsi="宋体" w:eastAsia="宋体" w:cs="宋体"/>
              </w:rPr>
            </w:pPr>
          </w:p>
          <w:p w14:paraId="6405F29F">
            <w:pPr>
              <w:pStyle w:val="20"/>
              <w:jc w:val="center"/>
              <w:rPr>
                <w:rFonts w:ascii="宋体" w:hAnsi="宋体" w:eastAsia="宋体" w:cs="宋体"/>
              </w:rPr>
            </w:pPr>
            <w:r>
              <w:rPr>
                <w:rFonts w:hint="eastAsia" w:ascii="宋体" w:hAnsi="宋体" w:eastAsia="宋体" w:cs="宋体"/>
              </w:rPr>
              <w:t>RG-N18010</w:t>
            </w:r>
          </w:p>
        </w:tc>
        <w:tc>
          <w:tcPr>
            <w:tcW w:w="1163" w:type="dxa"/>
          </w:tcPr>
          <w:p w14:paraId="2D21A482">
            <w:pPr>
              <w:pStyle w:val="20"/>
              <w:jc w:val="center"/>
              <w:rPr>
                <w:rFonts w:ascii="宋体" w:hAnsi="宋体" w:eastAsia="宋体" w:cs="宋体"/>
              </w:rPr>
            </w:pPr>
          </w:p>
          <w:p w14:paraId="7F553A71">
            <w:pPr>
              <w:pStyle w:val="20"/>
              <w:jc w:val="center"/>
              <w:rPr>
                <w:rFonts w:ascii="宋体" w:hAnsi="宋体" w:eastAsia="宋体" w:cs="宋体"/>
              </w:rPr>
            </w:pPr>
            <w:r>
              <w:rPr>
                <w:rFonts w:hint="eastAsia" w:ascii="宋体" w:hAnsi="宋体" w:eastAsia="宋体" w:cs="宋体"/>
              </w:rPr>
              <w:t>锐捷</w:t>
            </w:r>
          </w:p>
        </w:tc>
        <w:tc>
          <w:tcPr>
            <w:tcW w:w="498" w:type="dxa"/>
          </w:tcPr>
          <w:p w14:paraId="47CFE166">
            <w:pPr>
              <w:pStyle w:val="20"/>
              <w:jc w:val="center"/>
              <w:rPr>
                <w:rFonts w:ascii="宋体" w:hAnsi="宋体" w:eastAsia="宋体" w:cs="宋体"/>
              </w:rPr>
            </w:pPr>
          </w:p>
          <w:p w14:paraId="7AB6F493">
            <w:pPr>
              <w:pStyle w:val="20"/>
              <w:jc w:val="center"/>
              <w:rPr>
                <w:rFonts w:ascii="宋体" w:hAnsi="宋体" w:eastAsia="宋体" w:cs="宋体"/>
              </w:rPr>
            </w:pPr>
            <w:r>
              <w:rPr>
                <w:rFonts w:hint="eastAsia" w:ascii="宋体" w:hAnsi="宋体" w:eastAsia="宋体" w:cs="宋体"/>
              </w:rPr>
              <w:t>1</w:t>
            </w:r>
          </w:p>
        </w:tc>
        <w:tc>
          <w:tcPr>
            <w:tcW w:w="2976" w:type="dxa"/>
          </w:tcPr>
          <w:p w14:paraId="1D4E7B09">
            <w:pPr>
              <w:pStyle w:val="20"/>
              <w:rPr>
                <w:rFonts w:ascii="宋体" w:hAnsi="宋体" w:eastAsia="宋体" w:cs="宋体"/>
                <w:spacing w:val="-9"/>
              </w:rPr>
            </w:pPr>
            <w:r>
              <w:rPr>
                <w:rFonts w:hint="eastAsia" w:ascii="宋体" w:hAnsi="宋体" w:eastAsia="宋体" w:cs="宋体"/>
                <w:spacing w:val="-13"/>
              </w:rPr>
              <w:t xml:space="preserve">交换容量 </w:t>
            </w:r>
            <w:r>
              <w:rPr>
                <w:rFonts w:hint="eastAsia" w:ascii="宋体" w:hAnsi="宋体" w:eastAsia="宋体" w:cs="宋体"/>
              </w:rPr>
              <w:t>521Tbps，</w:t>
            </w:r>
            <w:r>
              <w:rPr>
                <w:rFonts w:hint="eastAsia" w:ascii="宋体" w:hAnsi="宋体" w:eastAsia="宋体" w:cs="宋体"/>
                <w:spacing w:val="-20"/>
              </w:rPr>
              <w:t xml:space="preserve">包转 </w:t>
            </w:r>
            <w:r>
              <w:rPr>
                <w:rFonts w:hint="eastAsia" w:ascii="宋体" w:hAnsi="宋体" w:eastAsia="宋体" w:cs="宋体"/>
              </w:rPr>
              <w:t>96000Mpps， 2</w:t>
            </w:r>
            <w:r>
              <w:rPr>
                <w:rFonts w:hint="eastAsia" w:ascii="宋体" w:hAnsi="宋体" w:eastAsia="宋体" w:cs="宋体"/>
                <w:spacing w:val="-5"/>
              </w:rPr>
              <w:t xml:space="preserve"> 个主控槽位</w:t>
            </w:r>
            <w:r>
              <w:rPr>
                <w:rFonts w:hint="eastAsia" w:ascii="宋体" w:hAnsi="宋体" w:eastAsia="宋体" w:cs="宋体"/>
              </w:rPr>
              <w:t>，4</w:t>
            </w:r>
            <w:r>
              <w:rPr>
                <w:rFonts w:hint="eastAsia" w:ascii="宋体" w:hAnsi="宋体" w:eastAsia="宋体" w:cs="宋体"/>
                <w:spacing w:val="-5"/>
              </w:rPr>
              <w:t xml:space="preserve"> 个交换网板槽位</w:t>
            </w:r>
            <w:r>
              <w:rPr>
                <w:rFonts w:hint="eastAsia" w:ascii="宋体" w:hAnsi="宋体" w:eastAsia="宋体" w:cs="宋体"/>
              </w:rPr>
              <w:t>，8个业务槽位</w:t>
            </w:r>
          </w:p>
        </w:tc>
        <w:tc>
          <w:tcPr>
            <w:tcW w:w="1134" w:type="dxa"/>
          </w:tcPr>
          <w:p w14:paraId="6097A429">
            <w:pPr>
              <w:pStyle w:val="20"/>
              <w:jc w:val="center"/>
              <w:rPr>
                <w:rFonts w:ascii="宋体" w:hAnsi="宋体" w:eastAsia="宋体" w:cs="宋体"/>
              </w:rPr>
            </w:pPr>
            <w:r>
              <w:rPr>
                <w:rFonts w:hint="eastAsia" w:ascii="宋体" w:hAnsi="宋体" w:eastAsia="宋体" w:cs="宋体"/>
              </w:rPr>
              <w:t>2017</w:t>
            </w:r>
            <w:r>
              <w:rPr>
                <w:rFonts w:hint="eastAsia" w:ascii="宋体" w:hAnsi="宋体" w:eastAsia="宋体" w:cs="宋体"/>
                <w:spacing w:val="-24"/>
              </w:rPr>
              <w:t xml:space="preserve"> 年上</w:t>
            </w:r>
          </w:p>
          <w:p w14:paraId="048380FF">
            <w:pPr>
              <w:pStyle w:val="20"/>
              <w:jc w:val="center"/>
              <w:rPr>
                <w:rFonts w:ascii="宋体" w:hAnsi="宋体" w:eastAsia="宋体" w:cs="宋体"/>
              </w:rPr>
            </w:pPr>
            <w:r>
              <w:rPr>
                <w:rFonts w:hint="eastAsia" w:ascii="宋体" w:hAnsi="宋体" w:eastAsia="宋体" w:cs="宋体"/>
              </w:rPr>
              <w:t xml:space="preserve">线， </w:t>
            </w:r>
            <w:r>
              <w:rPr>
                <w:rFonts w:hint="eastAsia" w:ascii="宋体" w:hAnsi="宋体" w:eastAsia="宋体" w:cs="宋体"/>
                <w:spacing w:val="-10"/>
              </w:rPr>
              <w:t>7</w:t>
            </w:r>
            <w:r>
              <w:rPr>
                <w:rFonts w:hint="eastAsia" w:ascii="宋体" w:hAnsi="宋体" w:eastAsia="宋体" w:cs="宋体"/>
              </w:rPr>
              <w:t>年</w:t>
            </w:r>
          </w:p>
        </w:tc>
        <w:tc>
          <w:tcPr>
            <w:tcW w:w="692" w:type="dxa"/>
          </w:tcPr>
          <w:p w14:paraId="523CF210">
            <w:pPr>
              <w:pStyle w:val="20"/>
              <w:jc w:val="center"/>
              <w:rPr>
                <w:rFonts w:ascii="宋体" w:hAnsi="宋体" w:eastAsia="宋体" w:cs="宋体"/>
              </w:rPr>
            </w:pPr>
            <w:r>
              <w:rPr>
                <w:rFonts w:hint="eastAsia" w:ascii="宋体" w:hAnsi="宋体" w:eastAsia="宋体" w:cs="宋体"/>
              </w:rPr>
              <w:t>利旧</w:t>
            </w:r>
          </w:p>
        </w:tc>
      </w:tr>
      <w:tr w14:paraId="14348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6BC16C4">
            <w:pPr>
              <w:pStyle w:val="20"/>
              <w:jc w:val="center"/>
              <w:rPr>
                <w:rFonts w:ascii="宋体" w:hAnsi="宋体" w:eastAsia="宋体" w:cs="宋体"/>
              </w:rPr>
            </w:pPr>
            <w:r>
              <w:rPr>
                <w:rFonts w:hint="eastAsia" w:ascii="宋体" w:hAnsi="宋体" w:eastAsia="宋体" w:cs="宋体"/>
              </w:rPr>
              <w:t>全光OLT</w:t>
            </w:r>
          </w:p>
        </w:tc>
        <w:tc>
          <w:tcPr>
            <w:tcW w:w="1403" w:type="dxa"/>
          </w:tcPr>
          <w:p w14:paraId="3D35B47A">
            <w:pPr>
              <w:pStyle w:val="20"/>
              <w:jc w:val="center"/>
              <w:rPr>
                <w:rFonts w:ascii="宋体" w:hAnsi="宋体" w:eastAsia="宋体" w:cs="宋体"/>
              </w:rPr>
            </w:pPr>
          </w:p>
          <w:p w14:paraId="147A4D12">
            <w:pPr>
              <w:pStyle w:val="20"/>
              <w:jc w:val="center"/>
              <w:rPr>
                <w:rFonts w:ascii="宋体" w:hAnsi="宋体" w:eastAsia="宋体" w:cs="宋体"/>
              </w:rPr>
            </w:pPr>
            <w:r>
              <w:rPr>
                <w:rFonts w:hint="eastAsia" w:ascii="宋体" w:hAnsi="宋体" w:eastAsia="宋体" w:cs="宋体"/>
              </w:rPr>
              <w:t>S7510X</w:t>
            </w:r>
          </w:p>
        </w:tc>
        <w:tc>
          <w:tcPr>
            <w:tcW w:w="1163" w:type="dxa"/>
          </w:tcPr>
          <w:p w14:paraId="1BCFA010">
            <w:pPr>
              <w:pStyle w:val="20"/>
              <w:jc w:val="center"/>
              <w:rPr>
                <w:rFonts w:ascii="宋体" w:hAnsi="宋体" w:eastAsia="宋体" w:cs="宋体"/>
              </w:rPr>
            </w:pPr>
          </w:p>
          <w:p w14:paraId="40D227FB">
            <w:pPr>
              <w:pStyle w:val="20"/>
              <w:jc w:val="center"/>
              <w:rPr>
                <w:rFonts w:ascii="宋体" w:hAnsi="宋体" w:eastAsia="宋体" w:cs="宋体"/>
              </w:rPr>
            </w:pPr>
            <w:r>
              <w:rPr>
                <w:rFonts w:hint="eastAsia" w:ascii="宋体" w:hAnsi="宋体" w:eastAsia="宋体" w:cs="宋体"/>
              </w:rPr>
              <w:t>新华三</w:t>
            </w:r>
          </w:p>
        </w:tc>
        <w:tc>
          <w:tcPr>
            <w:tcW w:w="498" w:type="dxa"/>
          </w:tcPr>
          <w:p w14:paraId="79E5374A">
            <w:pPr>
              <w:pStyle w:val="20"/>
              <w:jc w:val="center"/>
              <w:rPr>
                <w:rFonts w:ascii="宋体" w:hAnsi="宋体" w:eastAsia="宋体" w:cs="宋体"/>
              </w:rPr>
            </w:pPr>
          </w:p>
          <w:p w14:paraId="5C3A909C">
            <w:pPr>
              <w:pStyle w:val="20"/>
              <w:jc w:val="center"/>
              <w:rPr>
                <w:rFonts w:ascii="宋体" w:hAnsi="宋体" w:eastAsia="宋体" w:cs="宋体"/>
              </w:rPr>
            </w:pPr>
            <w:r>
              <w:rPr>
                <w:rFonts w:hint="eastAsia" w:ascii="宋体" w:hAnsi="宋体" w:eastAsia="宋体" w:cs="宋体"/>
              </w:rPr>
              <w:t>1</w:t>
            </w:r>
          </w:p>
        </w:tc>
        <w:tc>
          <w:tcPr>
            <w:tcW w:w="2976" w:type="dxa"/>
          </w:tcPr>
          <w:p w14:paraId="7E32488D">
            <w:pPr>
              <w:pStyle w:val="20"/>
              <w:rPr>
                <w:rFonts w:ascii="宋体" w:hAnsi="宋体" w:eastAsia="宋体" w:cs="宋体"/>
                <w:spacing w:val="-13"/>
              </w:rPr>
            </w:pPr>
            <w:r>
              <w:rPr>
                <w:rFonts w:hint="eastAsia" w:ascii="宋体" w:hAnsi="宋体" w:eastAsia="宋体" w:cs="宋体"/>
              </w:rPr>
              <w:t>交换容量320Tbps，包转发100600Mpps，2</w:t>
            </w:r>
            <w:r>
              <w:rPr>
                <w:rFonts w:hint="eastAsia" w:ascii="宋体" w:hAnsi="宋体" w:eastAsia="宋体" w:cs="宋体"/>
                <w:spacing w:val="-5"/>
              </w:rPr>
              <w:t xml:space="preserve"> 个主控槽位</w:t>
            </w:r>
            <w:r>
              <w:rPr>
                <w:rFonts w:hint="eastAsia" w:ascii="宋体" w:hAnsi="宋体" w:eastAsia="宋体" w:cs="宋体"/>
              </w:rPr>
              <w:t>，5</w:t>
            </w:r>
            <w:r>
              <w:rPr>
                <w:rFonts w:hint="eastAsia" w:ascii="宋体" w:hAnsi="宋体" w:eastAsia="宋体" w:cs="宋体"/>
                <w:spacing w:val="-2"/>
              </w:rPr>
              <w:t>个业务槽位</w:t>
            </w:r>
          </w:p>
        </w:tc>
        <w:tc>
          <w:tcPr>
            <w:tcW w:w="1134" w:type="dxa"/>
          </w:tcPr>
          <w:p w14:paraId="24F3F561">
            <w:pPr>
              <w:pStyle w:val="20"/>
              <w:jc w:val="center"/>
              <w:rPr>
                <w:rFonts w:ascii="宋体" w:hAnsi="宋体" w:eastAsia="宋体" w:cs="宋体"/>
              </w:rPr>
            </w:pPr>
            <w:r>
              <w:rPr>
                <w:rFonts w:hint="eastAsia" w:ascii="宋体" w:hAnsi="宋体" w:eastAsia="宋体" w:cs="宋体"/>
              </w:rPr>
              <w:t>2023年上线，1年</w:t>
            </w:r>
          </w:p>
        </w:tc>
        <w:tc>
          <w:tcPr>
            <w:tcW w:w="692" w:type="dxa"/>
          </w:tcPr>
          <w:p w14:paraId="0FE1634A">
            <w:pPr>
              <w:pStyle w:val="20"/>
              <w:jc w:val="center"/>
              <w:rPr>
                <w:rFonts w:ascii="宋体" w:hAnsi="宋体" w:eastAsia="宋体" w:cs="宋体"/>
              </w:rPr>
            </w:pPr>
            <w:r>
              <w:rPr>
                <w:rFonts w:hint="eastAsia" w:ascii="宋体" w:hAnsi="宋体" w:eastAsia="宋体" w:cs="宋体"/>
              </w:rPr>
              <w:t>利旧</w:t>
            </w:r>
          </w:p>
        </w:tc>
      </w:tr>
      <w:tr w14:paraId="4FD11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9754" w:type="dxa"/>
            <w:gridSpan w:val="7"/>
            <w:shd w:val="clear" w:color="auto" w:fill="E7E6E6"/>
            <w:vAlign w:val="center"/>
          </w:tcPr>
          <w:p w14:paraId="1B37DD43">
            <w:pPr>
              <w:pStyle w:val="20"/>
              <w:jc w:val="center"/>
              <w:rPr>
                <w:rFonts w:ascii="宋体" w:hAnsi="宋体" w:eastAsia="宋体" w:cs="宋体"/>
                <w:spacing w:val="-12"/>
              </w:rPr>
            </w:pPr>
            <w:r>
              <w:rPr>
                <w:rFonts w:hint="eastAsia" w:ascii="宋体" w:hAnsi="宋体" w:eastAsia="宋体" w:cs="宋体"/>
              </w:rPr>
              <w:t>宣城校区</w:t>
            </w:r>
          </w:p>
        </w:tc>
      </w:tr>
      <w:tr w14:paraId="65B22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495EFEF0">
            <w:pPr>
              <w:pStyle w:val="20"/>
              <w:jc w:val="center"/>
              <w:rPr>
                <w:rFonts w:ascii="宋体" w:hAnsi="宋体" w:eastAsia="宋体" w:cs="宋体"/>
              </w:rPr>
            </w:pPr>
            <w:r>
              <w:rPr>
                <w:rFonts w:hint="eastAsia" w:ascii="宋体" w:hAnsi="宋体" w:eastAsia="宋体" w:cs="宋体"/>
              </w:rPr>
              <w:t>办公核心交换</w:t>
            </w:r>
            <w:r>
              <w:rPr>
                <w:rFonts w:hint="eastAsia" w:ascii="宋体" w:hAnsi="宋体" w:eastAsia="宋体" w:cs="宋体"/>
                <w:spacing w:val="-10"/>
              </w:rPr>
              <w:t>机</w:t>
            </w:r>
          </w:p>
        </w:tc>
        <w:tc>
          <w:tcPr>
            <w:tcW w:w="1403" w:type="dxa"/>
            <w:vAlign w:val="center"/>
          </w:tcPr>
          <w:p w14:paraId="6E21DDF1">
            <w:pPr>
              <w:pStyle w:val="20"/>
              <w:jc w:val="center"/>
              <w:rPr>
                <w:rFonts w:ascii="宋体" w:hAnsi="宋体" w:eastAsia="宋体" w:cs="宋体"/>
              </w:rPr>
            </w:pPr>
            <w:r>
              <w:rPr>
                <w:rFonts w:hint="eastAsia" w:ascii="宋体" w:hAnsi="宋体" w:eastAsia="宋体" w:cs="宋体"/>
              </w:rPr>
              <w:t>N7K-C7010</w:t>
            </w:r>
          </w:p>
        </w:tc>
        <w:tc>
          <w:tcPr>
            <w:tcW w:w="1163" w:type="dxa"/>
            <w:vAlign w:val="center"/>
          </w:tcPr>
          <w:p w14:paraId="7D1FD577">
            <w:pPr>
              <w:pStyle w:val="20"/>
              <w:jc w:val="center"/>
              <w:rPr>
                <w:rFonts w:ascii="宋体" w:hAnsi="宋体" w:eastAsia="宋体" w:cs="宋体"/>
              </w:rPr>
            </w:pPr>
            <w:r>
              <w:rPr>
                <w:rFonts w:hint="eastAsia" w:ascii="宋体" w:hAnsi="宋体" w:eastAsia="宋体" w:cs="宋体"/>
              </w:rPr>
              <w:t>思科</w:t>
            </w:r>
          </w:p>
        </w:tc>
        <w:tc>
          <w:tcPr>
            <w:tcW w:w="498" w:type="dxa"/>
            <w:vAlign w:val="center"/>
          </w:tcPr>
          <w:p w14:paraId="3099CE1F">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1CF5E166">
            <w:pPr>
              <w:pStyle w:val="20"/>
              <w:rPr>
                <w:rFonts w:ascii="宋体" w:hAnsi="宋体" w:eastAsia="宋体" w:cs="宋体"/>
              </w:rPr>
            </w:pPr>
            <w:r>
              <w:rPr>
                <w:rFonts w:hint="eastAsia" w:ascii="宋体" w:hAnsi="宋体" w:eastAsia="宋体" w:cs="宋体"/>
              </w:rPr>
              <w:t xml:space="preserve">交换容量 </w:t>
            </w:r>
            <w:r>
              <w:rPr>
                <w:rFonts w:hint="eastAsia" w:ascii="宋体" w:hAnsi="宋体" w:eastAsia="宋体" w:cs="宋体"/>
                <w:spacing w:val="-4"/>
              </w:rPr>
              <w:t>9.9</w:t>
            </w:r>
            <w:r>
              <w:rPr>
                <w:rFonts w:hint="eastAsia" w:ascii="宋体" w:hAnsi="宋体" w:eastAsia="宋体" w:cs="宋体"/>
                <w:spacing w:val="-25"/>
              </w:rPr>
              <w:t xml:space="preserve"> </w:t>
            </w:r>
            <w:r>
              <w:rPr>
                <w:rFonts w:hint="eastAsia" w:ascii="宋体" w:hAnsi="宋体" w:eastAsia="宋体" w:cs="宋体"/>
                <w:spacing w:val="-4"/>
              </w:rPr>
              <w:t>Tbps，2</w:t>
            </w:r>
            <w:r>
              <w:rPr>
                <w:rFonts w:hint="eastAsia" w:ascii="宋体" w:hAnsi="宋体" w:eastAsia="宋体" w:cs="宋体"/>
              </w:rPr>
              <w:t xml:space="preserve"> 个主控槽位，</w:t>
            </w:r>
            <w:r>
              <w:rPr>
                <w:rFonts w:hint="eastAsia" w:ascii="宋体" w:hAnsi="宋体" w:eastAsia="宋体" w:cs="宋体"/>
                <w:spacing w:val="-4"/>
              </w:rPr>
              <w:t>5</w:t>
            </w:r>
            <w:r>
              <w:rPr>
                <w:rFonts w:hint="eastAsia" w:ascii="宋体" w:hAnsi="宋体" w:eastAsia="宋体" w:cs="宋体"/>
                <w:spacing w:val="-6"/>
              </w:rPr>
              <w:t>个交换网板槽位，8</w:t>
            </w:r>
            <w:r>
              <w:rPr>
                <w:rFonts w:hint="eastAsia" w:ascii="宋体" w:hAnsi="宋体" w:eastAsia="宋体" w:cs="宋体"/>
                <w:spacing w:val="-11"/>
              </w:rPr>
              <w:t xml:space="preserve"> 个业务槽位</w:t>
            </w:r>
            <w:r>
              <w:rPr>
                <w:rFonts w:hint="eastAsia" w:ascii="宋体" w:hAnsi="宋体" w:eastAsia="宋体" w:cs="宋体"/>
                <w:spacing w:val="-6"/>
              </w:rPr>
              <w:t>，3</w:t>
            </w:r>
            <w:r>
              <w:rPr>
                <w:rFonts w:hint="eastAsia" w:ascii="宋体" w:hAnsi="宋体" w:eastAsia="宋体" w:cs="宋体"/>
                <w:spacing w:val="-15"/>
              </w:rPr>
              <w:t xml:space="preserve"> 个</w:t>
            </w:r>
            <w:r>
              <w:rPr>
                <w:rFonts w:hint="eastAsia" w:ascii="宋体" w:hAnsi="宋体" w:eastAsia="宋体" w:cs="宋体"/>
                <w:spacing w:val="-2"/>
              </w:rPr>
              <w:t>模块化电源槽位</w:t>
            </w:r>
          </w:p>
        </w:tc>
        <w:tc>
          <w:tcPr>
            <w:tcW w:w="1134" w:type="dxa"/>
            <w:vAlign w:val="center"/>
          </w:tcPr>
          <w:p w14:paraId="383456E5">
            <w:pPr>
              <w:pStyle w:val="20"/>
              <w:jc w:val="center"/>
              <w:rPr>
                <w:rFonts w:ascii="宋体" w:hAnsi="宋体" w:eastAsia="宋体" w:cs="宋体"/>
              </w:rPr>
            </w:pPr>
            <w:r>
              <w:rPr>
                <w:rFonts w:hint="eastAsia" w:ascii="宋体" w:hAnsi="宋体" w:eastAsia="宋体" w:cs="宋体"/>
              </w:rPr>
              <w:t>2012</w:t>
            </w:r>
            <w:r>
              <w:rPr>
                <w:rFonts w:hint="eastAsia" w:ascii="宋体" w:hAnsi="宋体" w:eastAsia="宋体" w:cs="宋体"/>
                <w:spacing w:val="-24"/>
              </w:rPr>
              <w:t xml:space="preserve"> 年上</w:t>
            </w:r>
          </w:p>
          <w:p w14:paraId="19CDF316">
            <w:pPr>
              <w:pStyle w:val="20"/>
              <w:jc w:val="center"/>
              <w:rPr>
                <w:rFonts w:ascii="宋体" w:hAnsi="宋体" w:eastAsia="宋体" w:cs="宋体"/>
              </w:rPr>
            </w:pPr>
            <w:r>
              <w:rPr>
                <w:rFonts w:hint="eastAsia" w:ascii="宋体" w:hAnsi="宋体" w:eastAsia="宋体" w:cs="宋体"/>
              </w:rPr>
              <w:t>线，</w:t>
            </w:r>
            <w:r>
              <w:rPr>
                <w:rFonts w:hint="eastAsia" w:ascii="宋体" w:hAnsi="宋体" w:eastAsia="宋体" w:cs="宋体"/>
                <w:spacing w:val="-5"/>
              </w:rPr>
              <w:t>12</w:t>
            </w:r>
            <w:r>
              <w:rPr>
                <w:rFonts w:hint="eastAsia" w:ascii="宋体" w:hAnsi="宋体" w:eastAsia="宋体" w:cs="宋体"/>
              </w:rPr>
              <w:t>年</w:t>
            </w:r>
          </w:p>
        </w:tc>
        <w:tc>
          <w:tcPr>
            <w:tcW w:w="692" w:type="dxa"/>
            <w:vAlign w:val="center"/>
          </w:tcPr>
          <w:p w14:paraId="493B9828">
            <w:pPr>
              <w:jc w:val="center"/>
              <w:rPr>
                <w:rFonts w:ascii="宋体" w:hAnsi="宋体" w:eastAsia="宋体" w:cs="宋体"/>
              </w:rPr>
            </w:pPr>
            <w:r>
              <w:rPr>
                <w:rFonts w:hint="eastAsia" w:ascii="宋体" w:hAnsi="宋体" w:eastAsia="宋体" w:cs="宋体"/>
              </w:rPr>
              <w:t>利旧</w:t>
            </w:r>
          </w:p>
        </w:tc>
      </w:tr>
      <w:tr w14:paraId="76743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3132CA5B">
            <w:pPr>
              <w:pStyle w:val="20"/>
              <w:jc w:val="center"/>
              <w:rPr>
                <w:rFonts w:ascii="宋体" w:hAnsi="宋体" w:eastAsia="宋体" w:cs="宋体"/>
              </w:rPr>
            </w:pPr>
            <w:r>
              <w:rPr>
                <w:rFonts w:hint="eastAsia" w:ascii="宋体" w:hAnsi="宋体" w:eastAsia="宋体" w:cs="宋体"/>
              </w:rPr>
              <w:t>学生核心交换</w:t>
            </w:r>
            <w:r>
              <w:rPr>
                <w:rFonts w:hint="eastAsia" w:ascii="宋体" w:hAnsi="宋体" w:eastAsia="宋体" w:cs="宋体"/>
                <w:spacing w:val="-10"/>
              </w:rPr>
              <w:t>机</w:t>
            </w:r>
          </w:p>
        </w:tc>
        <w:tc>
          <w:tcPr>
            <w:tcW w:w="1403" w:type="dxa"/>
            <w:vAlign w:val="center"/>
          </w:tcPr>
          <w:p w14:paraId="71F9F19B">
            <w:pPr>
              <w:pStyle w:val="20"/>
              <w:jc w:val="center"/>
              <w:rPr>
                <w:rFonts w:ascii="宋体" w:hAnsi="宋体" w:eastAsia="宋体" w:cs="宋体"/>
              </w:rPr>
            </w:pPr>
            <w:r>
              <w:rPr>
                <w:rFonts w:hint="eastAsia" w:ascii="宋体" w:hAnsi="宋体" w:eastAsia="宋体" w:cs="宋体"/>
              </w:rPr>
              <w:t>N7K-C7010</w:t>
            </w:r>
          </w:p>
        </w:tc>
        <w:tc>
          <w:tcPr>
            <w:tcW w:w="1163" w:type="dxa"/>
            <w:vAlign w:val="center"/>
          </w:tcPr>
          <w:p w14:paraId="4DC3527D">
            <w:pPr>
              <w:pStyle w:val="20"/>
              <w:jc w:val="center"/>
              <w:rPr>
                <w:rFonts w:ascii="宋体" w:hAnsi="宋体" w:eastAsia="宋体" w:cs="宋体"/>
              </w:rPr>
            </w:pPr>
            <w:r>
              <w:rPr>
                <w:rFonts w:hint="eastAsia" w:ascii="宋体" w:hAnsi="宋体" w:eastAsia="宋体" w:cs="宋体"/>
              </w:rPr>
              <w:t>思科</w:t>
            </w:r>
          </w:p>
        </w:tc>
        <w:tc>
          <w:tcPr>
            <w:tcW w:w="498" w:type="dxa"/>
            <w:vAlign w:val="center"/>
          </w:tcPr>
          <w:p w14:paraId="52ED2B28">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30CA2260">
            <w:pPr>
              <w:pStyle w:val="20"/>
              <w:rPr>
                <w:rFonts w:ascii="宋体" w:hAnsi="宋体" w:eastAsia="宋体" w:cs="宋体"/>
              </w:rPr>
            </w:pPr>
            <w:r>
              <w:rPr>
                <w:rFonts w:hint="eastAsia" w:ascii="宋体" w:hAnsi="宋体" w:eastAsia="宋体" w:cs="宋体"/>
              </w:rPr>
              <w:t xml:space="preserve">交换容量 </w:t>
            </w:r>
            <w:r>
              <w:rPr>
                <w:rFonts w:hint="eastAsia" w:ascii="宋体" w:hAnsi="宋体" w:eastAsia="宋体" w:cs="宋体"/>
                <w:spacing w:val="-4"/>
              </w:rPr>
              <w:t>9.9</w:t>
            </w:r>
            <w:r>
              <w:rPr>
                <w:rFonts w:hint="eastAsia" w:ascii="宋体" w:hAnsi="宋体" w:eastAsia="宋体" w:cs="宋体"/>
                <w:spacing w:val="-25"/>
              </w:rPr>
              <w:t xml:space="preserve"> </w:t>
            </w:r>
            <w:r>
              <w:rPr>
                <w:rFonts w:hint="eastAsia" w:ascii="宋体" w:hAnsi="宋体" w:eastAsia="宋体" w:cs="宋体"/>
                <w:spacing w:val="-4"/>
              </w:rPr>
              <w:t>Tbps，2</w:t>
            </w:r>
            <w:r>
              <w:rPr>
                <w:rFonts w:hint="eastAsia" w:ascii="宋体" w:hAnsi="宋体" w:eastAsia="宋体" w:cs="宋体"/>
              </w:rPr>
              <w:t xml:space="preserve"> 个主控槽位，</w:t>
            </w:r>
            <w:r>
              <w:rPr>
                <w:rFonts w:hint="eastAsia" w:ascii="宋体" w:hAnsi="宋体" w:eastAsia="宋体" w:cs="宋体"/>
                <w:spacing w:val="-4"/>
              </w:rPr>
              <w:t>5</w:t>
            </w:r>
            <w:r>
              <w:rPr>
                <w:rFonts w:hint="eastAsia" w:ascii="宋体" w:hAnsi="宋体" w:eastAsia="宋体" w:cs="宋体"/>
                <w:spacing w:val="-6"/>
              </w:rPr>
              <w:t>个交换网板槽位，8</w:t>
            </w:r>
            <w:r>
              <w:rPr>
                <w:rFonts w:hint="eastAsia" w:ascii="宋体" w:hAnsi="宋体" w:eastAsia="宋体" w:cs="宋体"/>
                <w:spacing w:val="-11"/>
              </w:rPr>
              <w:t xml:space="preserve"> 个业务槽位</w:t>
            </w:r>
            <w:r>
              <w:rPr>
                <w:rFonts w:hint="eastAsia" w:ascii="宋体" w:hAnsi="宋体" w:eastAsia="宋体" w:cs="宋体"/>
                <w:spacing w:val="-6"/>
              </w:rPr>
              <w:t>，3</w:t>
            </w:r>
            <w:r>
              <w:rPr>
                <w:rFonts w:hint="eastAsia" w:ascii="宋体" w:hAnsi="宋体" w:eastAsia="宋体" w:cs="宋体"/>
                <w:spacing w:val="-15"/>
              </w:rPr>
              <w:t xml:space="preserve"> 个</w:t>
            </w:r>
            <w:r>
              <w:rPr>
                <w:rFonts w:hint="eastAsia" w:ascii="宋体" w:hAnsi="宋体" w:eastAsia="宋体" w:cs="宋体"/>
                <w:spacing w:val="-2"/>
              </w:rPr>
              <w:t>模块化电源槽位</w:t>
            </w:r>
          </w:p>
        </w:tc>
        <w:tc>
          <w:tcPr>
            <w:tcW w:w="1134" w:type="dxa"/>
            <w:vAlign w:val="center"/>
          </w:tcPr>
          <w:p w14:paraId="664B2100">
            <w:pPr>
              <w:pStyle w:val="20"/>
              <w:jc w:val="center"/>
              <w:rPr>
                <w:rFonts w:ascii="宋体" w:hAnsi="宋体" w:eastAsia="宋体" w:cs="宋体"/>
              </w:rPr>
            </w:pPr>
            <w:r>
              <w:rPr>
                <w:rFonts w:hint="eastAsia" w:ascii="宋体" w:hAnsi="宋体" w:eastAsia="宋体" w:cs="宋体"/>
              </w:rPr>
              <w:t>2012年上线，12年</w:t>
            </w:r>
          </w:p>
        </w:tc>
        <w:tc>
          <w:tcPr>
            <w:tcW w:w="692" w:type="dxa"/>
            <w:vAlign w:val="center"/>
          </w:tcPr>
          <w:p w14:paraId="6C5A42E6">
            <w:pPr>
              <w:jc w:val="center"/>
              <w:rPr>
                <w:rFonts w:ascii="宋体" w:hAnsi="宋体" w:eastAsia="宋体" w:cs="宋体"/>
              </w:rPr>
            </w:pPr>
            <w:r>
              <w:rPr>
                <w:rFonts w:hint="eastAsia" w:ascii="宋体" w:hAnsi="宋体" w:eastAsia="宋体" w:cs="宋体"/>
              </w:rPr>
              <w:t>利旧</w:t>
            </w:r>
          </w:p>
        </w:tc>
      </w:tr>
      <w:tr w14:paraId="1DC9B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5F2A2EEA">
            <w:pPr>
              <w:pStyle w:val="20"/>
              <w:jc w:val="center"/>
              <w:rPr>
                <w:rFonts w:ascii="宋体" w:hAnsi="宋体" w:eastAsia="宋体" w:cs="宋体"/>
              </w:rPr>
            </w:pPr>
            <w:r>
              <w:rPr>
                <w:rFonts w:hint="eastAsia" w:ascii="宋体" w:hAnsi="宋体" w:eastAsia="宋体" w:cs="宋体"/>
              </w:rPr>
              <w:t>准出认</w:t>
            </w:r>
            <w:r>
              <w:rPr>
                <w:rFonts w:hint="eastAsia" w:ascii="宋体" w:hAnsi="宋体" w:eastAsia="宋体" w:cs="宋体"/>
                <w:spacing w:val="-10"/>
              </w:rPr>
              <w:t>证</w:t>
            </w:r>
          </w:p>
        </w:tc>
        <w:tc>
          <w:tcPr>
            <w:tcW w:w="1403" w:type="dxa"/>
            <w:vAlign w:val="center"/>
          </w:tcPr>
          <w:p w14:paraId="55934FB7">
            <w:pPr>
              <w:pStyle w:val="20"/>
              <w:jc w:val="center"/>
              <w:rPr>
                <w:rFonts w:ascii="宋体" w:hAnsi="宋体" w:eastAsia="宋体" w:cs="宋体"/>
                <w:spacing w:val="-2"/>
              </w:rPr>
            </w:pPr>
            <w:r>
              <w:rPr>
                <w:rFonts w:hint="eastAsia" w:ascii="宋体" w:hAnsi="宋体" w:eastAsia="宋体" w:cs="宋体"/>
              </w:rPr>
              <w:t>Dr.COM-</w:t>
            </w:r>
            <w:r>
              <w:rPr>
                <w:rFonts w:hint="eastAsia" w:ascii="宋体" w:hAnsi="宋体" w:eastAsia="宋体" w:cs="宋体"/>
                <w:spacing w:val="-4"/>
              </w:rPr>
              <w:t>2166</w:t>
            </w:r>
          </w:p>
        </w:tc>
        <w:tc>
          <w:tcPr>
            <w:tcW w:w="1163" w:type="dxa"/>
            <w:vAlign w:val="center"/>
          </w:tcPr>
          <w:p w14:paraId="2D4378EA">
            <w:pPr>
              <w:pStyle w:val="20"/>
              <w:jc w:val="center"/>
              <w:rPr>
                <w:rFonts w:ascii="宋体" w:hAnsi="宋体" w:eastAsia="宋体" w:cs="宋体"/>
                <w:spacing w:val="-5"/>
              </w:rPr>
            </w:pPr>
            <w:r>
              <w:rPr>
                <w:rFonts w:hint="eastAsia" w:ascii="宋体" w:hAnsi="宋体" w:eastAsia="宋体" w:cs="宋体"/>
              </w:rPr>
              <w:t>城市热</w:t>
            </w:r>
            <w:r>
              <w:rPr>
                <w:rFonts w:hint="eastAsia" w:ascii="宋体" w:hAnsi="宋体" w:eastAsia="宋体" w:cs="宋体"/>
                <w:spacing w:val="-10"/>
              </w:rPr>
              <w:t>点</w:t>
            </w:r>
          </w:p>
        </w:tc>
        <w:tc>
          <w:tcPr>
            <w:tcW w:w="498" w:type="dxa"/>
            <w:vAlign w:val="center"/>
          </w:tcPr>
          <w:p w14:paraId="181E529E">
            <w:pPr>
              <w:pStyle w:val="20"/>
              <w:jc w:val="center"/>
              <w:rPr>
                <w:rFonts w:ascii="宋体" w:hAnsi="宋体" w:eastAsia="宋体" w:cs="宋体"/>
              </w:rPr>
            </w:pPr>
            <w:r>
              <w:rPr>
                <w:rFonts w:hint="eastAsia" w:ascii="宋体" w:hAnsi="宋体" w:eastAsia="宋体" w:cs="宋体"/>
              </w:rPr>
              <w:t>2</w:t>
            </w:r>
          </w:p>
        </w:tc>
        <w:tc>
          <w:tcPr>
            <w:tcW w:w="2976" w:type="dxa"/>
            <w:vAlign w:val="center"/>
          </w:tcPr>
          <w:p w14:paraId="415D5659">
            <w:pPr>
              <w:pStyle w:val="20"/>
              <w:rPr>
                <w:rFonts w:ascii="宋体" w:hAnsi="宋体" w:eastAsia="宋体" w:cs="宋体"/>
              </w:rPr>
            </w:pPr>
            <w:r>
              <w:rPr>
                <w:rFonts w:hint="eastAsia" w:ascii="宋体" w:hAnsi="宋体" w:eastAsia="宋体" w:cs="宋体"/>
              </w:rPr>
              <w:t>2000 用户接入服务管理器平台</w:t>
            </w:r>
          </w:p>
        </w:tc>
        <w:tc>
          <w:tcPr>
            <w:tcW w:w="1134" w:type="dxa"/>
            <w:vAlign w:val="center"/>
          </w:tcPr>
          <w:p w14:paraId="44682850">
            <w:pPr>
              <w:pStyle w:val="20"/>
              <w:jc w:val="center"/>
              <w:rPr>
                <w:rFonts w:ascii="宋体" w:hAnsi="宋体" w:eastAsia="宋体" w:cs="宋体"/>
              </w:rPr>
            </w:pPr>
            <w:r>
              <w:rPr>
                <w:rFonts w:hint="eastAsia" w:ascii="宋体" w:hAnsi="宋体" w:eastAsia="宋体" w:cs="宋体"/>
              </w:rPr>
              <w:t>2012</w:t>
            </w:r>
            <w:r>
              <w:rPr>
                <w:rFonts w:hint="eastAsia" w:ascii="宋体" w:hAnsi="宋体" w:eastAsia="宋体" w:cs="宋体"/>
                <w:spacing w:val="-24"/>
              </w:rPr>
              <w:t xml:space="preserve"> 年上</w:t>
            </w:r>
            <w:r>
              <w:rPr>
                <w:rFonts w:hint="eastAsia" w:ascii="宋体" w:hAnsi="宋体" w:eastAsia="宋体" w:cs="宋体"/>
                <w:spacing w:val="-12"/>
              </w:rPr>
              <w:t>线，</w:t>
            </w:r>
            <w:r>
              <w:rPr>
                <w:rFonts w:hint="eastAsia" w:ascii="宋体" w:hAnsi="宋体" w:eastAsia="宋体" w:cs="宋体"/>
                <w:spacing w:val="-5"/>
              </w:rPr>
              <w:t>12</w:t>
            </w:r>
            <w:r>
              <w:rPr>
                <w:rFonts w:hint="eastAsia" w:ascii="宋体" w:hAnsi="宋体" w:eastAsia="宋体" w:cs="宋体"/>
              </w:rPr>
              <w:t>年</w:t>
            </w:r>
          </w:p>
        </w:tc>
        <w:tc>
          <w:tcPr>
            <w:tcW w:w="692" w:type="dxa"/>
            <w:vAlign w:val="center"/>
          </w:tcPr>
          <w:p w14:paraId="5340E5AA">
            <w:pPr>
              <w:jc w:val="center"/>
              <w:rPr>
                <w:rFonts w:ascii="宋体" w:hAnsi="宋体" w:eastAsia="宋体" w:cs="宋体"/>
              </w:rPr>
            </w:pPr>
            <w:r>
              <w:rPr>
                <w:rFonts w:hint="eastAsia" w:ascii="宋体" w:hAnsi="宋体" w:eastAsia="宋体" w:cs="宋体"/>
              </w:rPr>
              <w:t>利旧</w:t>
            </w:r>
          </w:p>
        </w:tc>
      </w:tr>
      <w:tr w14:paraId="7CEDB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57D5CC4F">
            <w:pPr>
              <w:pStyle w:val="20"/>
              <w:jc w:val="center"/>
              <w:rPr>
                <w:rFonts w:ascii="宋体" w:hAnsi="宋体" w:eastAsia="宋体" w:cs="宋体"/>
              </w:rPr>
            </w:pPr>
            <w:r>
              <w:rPr>
                <w:rFonts w:hint="eastAsia" w:ascii="宋体" w:hAnsi="宋体" w:eastAsia="宋体" w:cs="宋体"/>
              </w:rPr>
              <w:t>办公出口路由</w:t>
            </w:r>
            <w:r>
              <w:rPr>
                <w:rFonts w:hint="eastAsia" w:ascii="宋体" w:hAnsi="宋体" w:eastAsia="宋体" w:cs="宋体"/>
                <w:spacing w:val="-10"/>
              </w:rPr>
              <w:t>器</w:t>
            </w:r>
          </w:p>
        </w:tc>
        <w:tc>
          <w:tcPr>
            <w:tcW w:w="1403" w:type="dxa"/>
            <w:vAlign w:val="center"/>
          </w:tcPr>
          <w:p w14:paraId="18C4CBAF">
            <w:pPr>
              <w:pStyle w:val="20"/>
              <w:jc w:val="center"/>
              <w:rPr>
                <w:rFonts w:ascii="宋体" w:hAnsi="宋体" w:eastAsia="宋体" w:cs="宋体"/>
              </w:rPr>
            </w:pPr>
            <w:r>
              <w:rPr>
                <w:rFonts w:hint="eastAsia" w:ascii="宋体" w:hAnsi="宋体" w:eastAsia="宋体" w:cs="宋体"/>
              </w:rPr>
              <w:t>RG-RSR7708</w:t>
            </w:r>
          </w:p>
        </w:tc>
        <w:tc>
          <w:tcPr>
            <w:tcW w:w="1163" w:type="dxa"/>
            <w:vAlign w:val="center"/>
          </w:tcPr>
          <w:p w14:paraId="209B8D36">
            <w:pPr>
              <w:pStyle w:val="20"/>
              <w:jc w:val="center"/>
              <w:rPr>
                <w:rFonts w:ascii="宋体" w:hAnsi="宋体" w:eastAsia="宋体" w:cs="宋体"/>
              </w:rPr>
            </w:pPr>
            <w:r>
              <w:rPr>
                <w:rFonts w:hint="eastAsia" w:ascii="宋体" w:hAnsi="宋体" w:eastAsia="宋体" w:cs="宋体"/>
              </w:rPr>
              <w:t>锐捷</w:t>
            </w:r>
          </w:p>
        </w:tc>
        <w:tc>
          <w:tcPr>
            <w:tcW w:w="498" w:type="dxa"/>
            <w:vAlign w:val="center"/>
          </w:tcPr>
          <w:p w14:paraId="10C8817B">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4676E094">
            <w:pPr>
              <w:pStyle w:val="20"/>
              <w:rPr>
                <w:rFonts w:ascii="宋体" w:hAnsi="宋体" w:eastAsia="宋体" w:cs="宋体"/>
              </w:rPr>
            </w:pPr>
            <w:r>
              <w:rPr>
                <w:rFonts w:hint="eastAsia" w:ascii="宋体" w:hAnsi="宋体" w:eastAsia="宋体" w:cs="宋体"/>
              </w:rPr>
              <w:t>2个路由引擎，4个业务子卡插槽，最大DRAM内存(MB) 路由引擎SCRMI 2G，转发引擎2G（SIP2/FNM），512M（SIP1） 传输速率(Mbps) 10000Mbps</w:t>
            </w:r>
          </w:p>
        </w:tc>
        <w:tc>
          <w:tcPr>
            <w:tcW w:w="1134" w:type="dxa"/>
            <w:vAlign w:val="center"/>
          </w:tcPr>
          <w:p w14:paraId="3C175BCB">
            <w:pPr>
              <w:pStyle w:val="20"/>
              <w:jc w:val="center"/>
              <w:rPr>
                <w:rFonts w:ascii="宋体" w:hAnsi="宋体" w:eastAsia="宋体" w:cs="宋体"/>
              </w:rPr>
            </w:pPr>
            <w:r>
              <w:rPr>
                <w:rFonts w:hint="eastAsia" w:ascii="宋体" w:hAnsi="宋体" w:eastAsia="宋体" w:cs="宋体"/>
              </w:rPr>
              <w:t>2012年上线，12年</w:t>
            </w:r>
          </w:p>
        </w:tc>
        <w:tc>
          <w:tcPr>
            <w:tcW w:w="692" w:type="dxa"/>
            <w:vAlign w:val="center"/>
          </w:tcPr>
          <w:p w14:paraId="716944DD">
            <w:pPr>
              <w:jc w:val="center"/>
              <w:rPr>
                <w:rFonts w:ascii="宋体" w:hAnsi="宋体" w:eastAsia="宋体" w:cs="宋体"/>
              </w:rPr>
            </w:pPr>
            <w:r>
              <w:rPr>
                <w:rFonts w:hint="eastAsia" w:ascii="宋体" w:hAnsi="宋体" w:eastAsia="宋体" w:cs="宋体"/>
              </w:rPr>
              <w:t>利旧</w:t>
            </w:r>
          </w:p>
        </w:tc>
      </w:tr>
      <w:tr w14:paraId="74BBF0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88" w:type="dxa"/>
            <w:vAlign w:val="center"/>
          </w:tcPr>
          <w:p w14:paraId="15A41443">
            <w:pPr>
              <w:pStyle w:val="20"/>
              <w:jc w:val="center"/>
              <w:rPr>
                <w:rFonts w:ascii="宋体" w:hAnsi="宋体" w:eastAsia="宋体" w:cs="宋体"/>
              </w:rPr>
            </w:pPr>
            <w:r>
              <w:rPr>
                <w:rFonts w:hint="eastAsia" w:ascii="宋体" w:hAnsi="宋体" w:eastAsia="宋体" w:cs="宋体"/>
              </w:rPr>
              <w:t>学生出口路由</w:t>
            </w:r>
            <w:r>
              <w:rPr>
                <w:rFonts w:hint="eastAsia" w:ascii="宋体" w:hAnsi="宋体" w:eastAsia="宋体" w:cs="宋体"/>
                <w:spacing w:val="-10"/>
              </w:rPr>
              <w:t>器</w:t>
            </w:r>
          </w:p>
        </w:tc>
        <w:tc>
          <w:tcPr>
            <w:tcW w:w="1403" w:type="dxa"/>
            <w:vAlign w:val="center"/>
          </w:tcPr>
          <w:p w14:paraId="61F67EE8">
            <w:pPr>
              <w:pStyle w:val="20"/>
              <w:jc w:val="center"/>
              <w:rPr>
                <w:rFonts w:ascii="宋体" w:hAnsi="宋体" w:eastAsia="宋体" w:cs="宋体"/>
              </w:rPr>
            </w:pPr>
            <w:r>
              <w:rPr>
                <w:rFonts w:hint="eastAsia" w:ascii="宋体" w:hAnsi="宋体" w:eastAsia="宋体" w:cs="宋体"/>
              </w:rPr>
              <w:t>RG-RSR7708</w:t>
            </w:r>
          </w:p>
        </w:tc>
        <w:tc>
          <w:tcPr>
            <w:tcW w:w="1163" w:type="dxa"/>
            <w:vAlign w:val="center"/>
          </w:tcPr>
          <w:p w14:paraId="4CE211D9">
            <w:pPr>
              <w:pStyle w:val="20"/>
              <w:jc w:val="center"/>
              <w:rPr>
                <w:rFonts w:ascii="宋体" w:hAnsi="宋体" w:eastAsia="宋体" w:cs="宋体"/>
              </w:rPr>
            </w:pPr>
            <w:r>
              <w:rPr>
                <w:rFonts w:hint="eastAsia" w:ascii="宋体" w:hAnsi="宋体" w:eastAsia="宋体" w:cs="宋体"/>
              </w:rPr>
              <w:t>锐捷</w:t>
            </w:r>
          </w:p>
        </w:tc>
        <w:tc>
          <w:tcPr>
            <w:tcW w:w="498" w:type="dxa"/>
            <w:vAlign w:val="center"/>
          </w:tcPr>
          <w:p w14:paraId="5FBD4D40">
            <w:pPr>
              <w:pStyle w:val="20"/>
              <w:jc w:val="center"/>
              <w:rPr>
                <w:rFonts w:ascii="宋体" w:hAnsi="宋体" w:eastAsia="宋体" w:cs="宋体"/>
              </w:rPr>
            </w:pPr>
            <w:r>
              <w:rPr>
                <w:rFonts w:hint="eastAsia" w:ascii="宋体" w:hAnsi="宋体" w:eastAsia="宋体" w:cs="宋体"/>
              </w:rPr>
              <w:t>1</w:t>
            </w:r>
          </w:p>
        </w:tc>
        <w:tc>
          <w:tcPr>
            <w:tcW w:w="2976" w:type="dxa"/>
            <w:vAlign w:val="center"/>
          </w:tcPr>
          <w:p w14:paraId="3D04A7E2">
            <w:pPr>
              <w:pStyle w:val="20"/>
              <w:rPr>
                <w:rFonts w:ascii="宋体" w:hAnsi="宋体" w:eastAsia="宋体" w:cs="宋体"/>
              </w:rPr>
            </w:pPr>
            <w:r>
              <w:rPr>
                <w:rFonts w:hint="eastAsia" w:ascii="宋体" w:hAnsi="宋体" w:eastAsia="宋体" w:cs="宋体"/>
              </w:rPr>
              <w:t>2个路由引擎，4个业务子卡插槽，最大DRAM内存(MB) 路由引擎SCRMI 2G，转发引擎2G（SIP2/FNM），512M（SIP1） 传输速率(Mbps) 10000Mbps</w:t>
            </w:r>
          </w:p>
        </w:tc>
        <w:tc>
          <w:tcPr>
            <w:tcW w:w="1134" w:type="dxa"/>
            <w:vAlign w:val="center"/>
          </w:tcPr>
          <w:p w14:paraId="65756A07">
            <w:pPr>
              <w:pStyle w:val="20"/>
              <w:jc w:val="center"/>
              <w:rPr>
                <w:rFonts w:ascii="宋体" w:hAnsi="宋体" w:eastAsia="宋体" w:cs="宋体"/>
              </w:rPr>
            </w:pPr>
            <w:r>
              <w:rPr>
                <w:rFonts w:hint="eastAsia" w:ascii="宋体" w:hAnsi="宋体" w:eastAsia="宋体" w:cs="宋体"/>
              </w:rPr>
              <w:t>2012</w:t>
            </w:r>
            <w:r>
              <w:rPr>
                <w:rFonts w:hint="eastAsia" w:ascii="宋体" w:hAnsi="宋体" w:eastAsia="宋体" w:cs="宋体"/>
                <w:spacing w:val="-24"/>
              </w:rPr>
              <w:t xml:space="preserve"> 年上</w:t>
            </w:r>
          </w:p>
          <w:p w14:paraId="772D58C6">
            <w:pPr>
              <w:pStyle w:val="20"/>
              <w:jc w:val="center"/>
              <w:rPr>
                <w:rFonts w:ascii="宋体" w:hAnsi="宋体" w:eastAsia="宋体" w:cs="宋体"/>
              </w:rPr>
            </w:pPr>
            <w:r>
              <w:rPr>
                <w:rFonts w:hint="eastAsia" w:ascii="宋体" w:hAnsi="宋体" w:eastAsia="宋体" w:cs="宋体"/>
              </w:rPr>
              <w:t xml:space="preserve">线， </w:t>
            </w:r>
            <w:r>
              <w:rPr>
                <w:rFonts w:hint="eastAsia" w:ascii="宋体" w:hAnsi="宋体" w:eastAsia="宋体" w:cs="宋体"/>
                <w:spacing w:val="-10"/>
              </w:rPr>
              <w:t>12</w:t>
            </w:r>
            <w:r>
              <w:rPr>
                <w:rFonts w:hint="eastAsia" w:ascii="宋体" w:hAnsi="宋体" w:eastAsia="宋体" w:cs="宋体"/>
              </w:rPr>
              <w:t>年</w:t>
            </w:r>
          </w:p>
        </w:tc>
        <w:tc>
          <w:tcPr>
            <w:tcW w:w="692" w:type="dxa"/>
            <w:vAlign w:val="center"/>
          </w:tcPr>
          <w:p w14:paraId="06597E80">
            <w:pPr>
              <w:pStyle w:val="20"/>
              <w:jc w:val="center"/>
              <w:rPr>
                <w:rFonts w:ascii="宋体" w:hAnsi="宋体" w:eastAsia="宋体" w:cs="宋体"/>
              </w:rPr>
            </w:pPr>
            <w:r>
              <w:rPr>
                <w:rFonts w:hint="eastAsia" w:ascii="宋体" w:hAnsi="宋体" w:eastAsia="宋体" w:cs="宋体"/>
              </w:rPr>
              <w:t>利旧</w:t>
            </w:r>
          </w:p>
        </w:tc>
      </w:tr>
    </w:tbl>
    <w:p w14:paraId="67BD7EA4">
      <w:pPr>
        <w:pStyle w:val="3"/>
        <w:keepNext w:val="0"/>
        <w:keepLines w:val="0"/>
        <w:spacing w:line="240" w:lineRule="auto"/>
        <w:ind w:left="900" w:hanging="900"/>
        <w:rPr>
          <w:rFonts w:ascii="宋体" w:hAnsi="宋体" w:eastAsia="宋体" w:cs="宋体"/>
          <w:kern w:val="44"/>
          <w:sz w:val="24"/>
          <w:szCs w:val="24"/>
        </w:rPr>
      </w:pPr>
      <w:bookmarkStart w:id="19" w:name="_bookmark4"/>
      <w:bookmarkEnd w:id="19"/>
      <w:bookmarkStart w:id="20" w:name="1.2.2_出口网络现状分析"/>
      <w:bookmarkEnd w:id="20"/>
      <w:bookmarkStart w:id="21" w:name="_bookmark5"/>
      <w:bookmarkEnd w:id="21"/>
      <w:bookmarkStart w:id="22" w:name="1.2.3_核心层网络现状分析"/>
      <w:bookmarkEnd w:id="22"/>
      <w:bookmarkStart w:id="23" w:name="_Toc3278"/>
      <w:bookmarkStart w:id="24" w:name="_Toc20568"/>
      <w:bookmarkStart w:id="25" w:name="_Toc2460"/>
      <w:bookmarkStart w:id="26" w:name="_Toc15018"/>
      <w:bookmarkStart w:id="27" w:name="_Toc30428"/>
      <w:r>
        <w:rPr>
          <w:rFonts w:hint="eastAsia" w:ascii="宋体" w:hAnsi="宋体" w:eastAsia="宋体" w:cs="宋体"/>
          <w:kern w:val="44"/>
          <w:sz w:val="24"/>
          <w:szCs w:val="24"/>
        </w:rPr>
        <w:t>2.2核心层网络现状</w:t>
      </w:r>
      <w:bookmarkEnd w:id="23"/>
      <w:bookmarkEnd w:id="24"/>
      <w:bookmarkEnd w:id="25"/>
      <w:bookmarkEnd w:id="26"/>
      <w:bookmarkEnd w:id="27"/>
    </w:p>
    <w:p w14:paraId="54DDF98A">
      <w:pPr>
        <w:pStyle w:val="19"/>
        <w:ind w:firstLine="480"/>
      </w:pPr>
      <w:r>
        <w:rPr>
          <w:rFonts w:hint="eastAsia"/>
        </w:rPr>
        <w:t>合肥工业大学（屯溪路校区、翡翠湖校区、六安路校区、宣城校区）校园网络系统采用三层网络架构，校园网核心层网络设置于屯溪路校区、宣城校区，承担屯溪路、翡翠湖、六安路、宣城四个校区的用户数据转发、出口访问需求。</w:t>
      </w:r>
    </w:p>
    <w:p w14:paraId="4E6D358F">
      <w:pPr>
        <w:pStyle w:val="19"/>
        <w:ind w:firstLine="480"/>
      </w:pPr>
      <w:r>
        <w:rPr>
          <w:rFonts w:hint="eastAsia"/>
        </w:rPr>
        <w:t>屯溪路校区核心层网络部署两台单核心交换机，分别为有线核心思科 C7010、无线核心思科 C9407R(目前因思科设备故障临时使用新华三S10506X-G)，两台核心交换机通过双万兆链路互联。</w:t>
      </w:r>
    </w:p>
    <w:p w14:paraId="1298ABFF">
      <w:pPr>
        <w:pStyle w:val="19"/>
        <w:ind w:firstLine="480"/>
      </w:pPr>
      <w:r>
        <w:rPr>
          <w:rFonts w:hint="eastAsia"/>
        </w:rPr>
        <w:t>有线核心通过万兆链路与一级汇聚（逸夫楼、科教楼、本科楼、行政楼、图书馆汇聚交换机）单链路互联。无线核心通过千兆链路与科技楼汇聚交换机单链路互联，通过万兆链路与逸夫楼、本科楼汇聚交换机单链路互联。</w:t>
      </w:r>
    </w:p>
    <w:p w14:paraId="016C55B5">
      <w:pPr>
        <w:pStyle w:val="19"/>
        <w:ind w:firstLine="480"/>
      </w:pPr>
      <w:r>
        <w:rPr>
          <w:rFonts w:hint="eastAsia"/>
        </w:rPr>
        <w:t>有线核心还通过两条万兆光缆与翡翠湖设置的子核心思科C7010互联，通过光缆与六安路校区互联，实现两个校区流量的汇聚转发。</w:t>
      </w:r>
    </w:p>
    <w:p w14:paraId="44AF7BB4">
      <w:pPr>
        <w:pStyle w:val="19"/>
        <w:ind w:firstLine="480"/>
      </w:pPr>
      <w:r>
        <w:rPr>
          <w:rFonts w:hint="eastAsia"/>
        </w:rPr>
        <w:t>宣城校区所在为安徽省宣城市，校区与合肥本部的校园网内网互联通过移动、联通两条出口、利用公网带宽和VPN加密隧道，实现宣城校区与合肥校区的内网业务互联。</w:t>
      </w:r>
    </w:p>
    <w:p w14:paraId="45B9B41A">
      <w:pPr>
        <w:pStyle w:val="19"/>
        <w:ind w:left="496" w:leftChars="236" w:firstLine="480"/>
      </w:pPr>
      <w:r>
        <w:rPr>
          <w:rFonts w:hint="eastAsia"/>
        </w:rPr>
        <w:drawing>
          <wp:anchor distT="0" distB="0" distL="114300" distR="114300" simplePos="0" relativeHeight="251659264" behindDoc="0" locked="0" layoutInCell="1" allowOverlap="0">
            <wp:simplePos x="0" y="0"/>
            <wp:positionH relativeFrom="margin">
              <wp:posOffset>783590</wp:posOffset>
            </wp:positionH>
            <wp:positionV relativeFrom="paragraph">
              <wp:posOffset>174625</wp:posOffset>
            </wp:positionV>
            <wp:extent cx="4164965" cy="2213610"/>
            <wp:effectExtent l="0" t="0" r="6985" b="152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a:xfrm>
                      <a:off x="0" y="0"/>
                      <a:ext cx="4164965" cy="2213610"/>
                    </a:xfrm>
                    <a:prstGeom prst="rect">
                      <a:avLst/>
                    </a:prstGeom>
                    <a:noFill/>
                    <a:ln>
                      <a:noFill/>
                    </a:ln>
                  </pic:spPr>
                </pic:pic>
              </a:graphicData>
            </a:graphic>
          </wp:anchor>
        </w:drawing>
      </w:r>
    </w:p>
    <w:p w14:paraId="743ABED4">
      <w:pPr>
        <w:pStyle w:val="6"/>
        <w:jc w:val="center"/>
        <w:rPr>
          <w:rFonts w:ascii="仿宋" w:hAnsi="仿宋" w:eastAsia="仿宋"/>
        </w:rPr>
      </w:pPr>
      <w:r>
        <w:rPr>
          <w:rFonts w:hint="eastAsia" w:ascii="仿宋" w:hAnsi="仿宋" w:eastAsia="仿宋"/>
        </w:rPr>
        <w:t>图 2-2 教育网安全出口拓扑</w:t>
      </w:r>
    </w:p>
    <w:p w14:paraId="033BD316">
      <w:pPr>
        <w:pStyle w:val="3"/>
        <w:keepNext w:val="0"/>
        <w:keepLines w:val="0"/>
        <w:spacing w:line="240" w:lineRule="auto"/>
        <w:ind w:left="900" w:hanging="900"/>
        <w:rPr>
          <w:rFonts w:ascii="宋体" w:hAnsi="宋体" w:eastAsia="宋体" w:cs="宋体"/>
          <w:kern w:val="44"/>
          <w:sz w:val="24"/>
          <w:szCs w:val="24"/>
        </w:rPr>
      </w:pPr>
      <w:bookmarkStart w:id="28" w:name="1.2.4_汇聚接入层网络现状分析"/>
      <w:bookmarkEnd w:id="28"/>
      <w:bookmarkStart w:id="29" w:name="_bookmark6"/>
      <w:bookmarkEnd w:id="29"/>
      <w:bookmarkStart w:id="30" w:name="_Toc14193"/>
      <w:bookmarkStart w:id="31" w:name="_Toc12011"/>
      <w:bookmarkStart w:id="32" w:name="_Toc6004"/>
      <w:bookmarkStart w:id="33" w:name="_Toc10937"/>
      <w:bookmarkStart w:id="34" w:name="_Toc439"/>
      <w:r>
        <w:rPr>
          <w:rFonts w:hint="eastAsia" w:ascii="宋体" w:hAnsi="宋体" w:eastAsia="宋体" w:cs="宋体"/>
          <w:kern w:val="44"/>
          <w:sz w:val="24"/>
          <w:szCs w:val="24"/>
        </w:rPr>
        <w:t>2.3校园网出口现状</w:t>
      </w:r>
      <w:bookmarkEnd w:id="30"/>
      <w:bookmarkEnd w:id="31"/>
      <w:bookmarkEnd w:id="32"/>
    </w:p>
    <w:p w14:paraId="07BE8D78">
      <w:pPr>
        <w:pStyle w:val="19"/>
        <w:ind w:firstLine="480"/>
      </w:pPr>
      <w:r>
        <w:rPr>
          <w:rFonts w:hint="eastAsia"/>
        </w:rPr>
        <w:t>屯溪路校区共设置教育网、中国电信、中国移动、中国联通共四个出口，每个出口的接口容量为10G；教育网出口带宽1.9G，主要为三个校区的办公有线出口；电信出口带宽为</w:t>
      </w:r>
      <w:r>
        <w:t>1</w:t>
      </w:r>
      <w:r>
        <w:rPr>
          <w:rFonts w:hint="eastAsia"/>
        </w:rPr>
        <w:t>G，主要为翡翠湖校区非办公区有线流量出口；移动出口带宽为</w:t>
      </w:r>
      <w:r>
        <w:t>21</w:t>
      </w:r>
      <w:r>
        <w:rPr>
          <w:rFonts w:hint="eastAsia"/>
        </w:rPr>
        <w:t>G，主要为屯溪路校区非办公区的有线流量出口；联通出口带宽为</w:t>
      </w:r>
      <w:r>
        <w:t>12</w:t>
      </w:r>
      <w:r>
        <w:rPr>
          <w:rFonts w:hint="eastAsia"/>
        </w:rPr>
        <w:t>G，主要为屯溪路、翡翠湖校区无线流量出口。目前所有出口均已经支持IPv6协议。</w:t>
      </w:r>
    </w:p>
    <w:p w14:paraId="5D2D202E">
      <w:pPr>
        <w:pStyle w:val="19"/>
        <w:ind w:firstLine="480"/>
      </w:pPr>
      <w:r>
        <w:rPr>
          <w:rFonts w:hint="eastAsia"/>
        </w:rPr>
        <w:t>宣城校区共设置教育网、中国电信、中国移动、中国联通共四个出口，每个出口的接口容量为10G；教育网出口节点1</w:t>
      </w:r>
      <w:r>
        <w:t>00M</w:t>
      </w:r>
      <w:r>
        <w:rPr>
          <w:rFonts w:hint="eastAsia"/>
        </w:rPr>
        <w:t>；电信出口带宽为</w:t>
      </w:r>
      <w:r>
        <w:t>1</w:t>
      </w:r>
      <w:r>
        <w:rPr>
          <w:rFonts w:hint="eastAsia"/>
        </w:rPr>
        <w:t>G，主要为宣城校区办公区有线流量出口；移动出口带宽为</w:t>
      </w:r>
      <w:r>
        <w:t>4</w:t>
      </w:r>
      <w:r>
        <w:rPr>
          <w:rFonts w:hint="eastAsia"/>
        </w:rPr>
        <w:t>G，主要为宣城校区无线流量出口；联通出口带宽为</w:t>
      </w:r>
      <w:r>
        <w:t>7</w:t>
      </w:r>
      <w:r>
        <w:rPr>
          <w:rFonts w:hint="eastAsia"/>
        </w:rPr>
        <w:t>G，主要为宣城校区非办公区有线流量出口。目前所有出口均已经支持IPv6协议。</w:t>
      </w:r>
    </w:p>
    <w:p w14:paraId="6C71243D">
      <w:pPr>
        <w:pStyle w:val="19"/>
        <w:ind w:firstLine="480"/>
      </w:pPr>
      <w:r>
        <w:rPr>
          <w:rFonts w:hint="eastAsia"/>
        </w:rPr>
        <w:t>当前校园网出口安全防护，教育网出口通过引流交换机，旁挂单防火墙设备，与引流交换机共10条万兆链路互联。分别为电信、移动、联通、教育网 IPV4、教育网IPv6上下行业务流量。防火墙上目前共设置180条左右的安全策略，260 条左右的黑名单，主要为内到外、外到内的 IP地址访问黑名单、白名单。电信出口、移动出口、联通出口分别部署迪普安全网关 DPX8000-A5-X、锐捷安全网关 RG-EG3000XE和派网出口网关进行基础的安全防护。</w:t>
      </w:r>
    </w:p>
    <w:p w14:paraId="7F6C4824">
      <w:pPr>
        <w:pStyle w:val="3"/>
        <w:keepNext w:val="0"/>
        <w:keepLines w:val="0"/>
        <w:spacing w:line="240" w:lineRule="auto"/>
        <w:ind w:left="900" w:hanging="900"/>
        <w:rPr>
          <w:rFonts w:ascii="宋体" w:hAnsi="宋体" w:eastAsia="宋体" w:cs="宋体"/>
          <w:kern w:val="44"/>
          <w:sz w:val="24"/>
          <w:szCs w:val="24"/>
        </w:rPr>
      </w:pPr>
      <w:bookmarkStart w:id="35" w:name="_Toc18770"/>
      <w:bookmarkStart w:id="36" w:name="_Toc18652"/>
      <w:bookmarkStart w:id="37" w:name="_Toc22632"/>
      <w:r>
        <w:rPr>
          <w:rFonts w:hint="eastAsia" w:ascii="宋体" w:hAnsi="宋体" w:eastAsia="宋体" w:cs="宋体"/>
          <w:kern w:val="44"/>
          <w:sz w:val="24"/>
          <w:szCs w:val="24"/>
        </w:rPr>
        <w:t>2.4汇聚接入层网络现状</w:t>
      </w:r>
      <w:bookmarkEnd w:id="33"/>
      <w:bookmarkEnd w:id="34"/>
      <w:bookmarkEnd w:id="35"/>
      <w:bookmarkEnd w:id="36"/>
      <w:bookmarkEnd w:id="37"/>
    </w:p>
    <w:p w14:paraId="0FC69D2A">
      <w:pPr>
        <w:pStyle w:val="19"/>
        <w:ind w:firstLine="480"/>
      </w:pPr>
      <w:r>
        <w:rPr>
          <w:rFonts w:hint="eastAsia"/>
        </w:rPr>
        <w:t>屯溪路校区与翡翠湖校区均设置两级汇聚层网络，其中屯溪路校区一级汇聚分别设置在电教楼机房，分别负责行政楼、本科楼、科技楼、逸夫楼以及校区无线网络的业务；翡翠湖校区的一级汇聚设置在双子楼B座一楼的核心机房，分别负责科教楼、办公区域、学生宿舍区域和校区无线网络的业务。</w:t>
      </w:r>
    </w:p>
    <w:p w14:paraId="668C0828">
      <w:pPr>
        <w:pStyle w:val="19"/>
        <w:ind w:firstLine="480"/>
      </w:pPr>
      <w:r>
        <w:rPr>
          <w:rFonts w:hint="eastAsia"/>
        </w:rPr>
        <w:t>屯溪路校区二级汇聚设备部署于各个楼宇，分为有线网络汇聚、无线网络汇聚两套设备。二级汇聚设备约140台，通过千兆单链路与接入层交换机互联，其中本科楼、科技楼、逸夫楼等楼栋接入层设备有部分接入交换机级联。</w:t>
      </w:r>
    </w:p>
    <w:p w14:paraId="0861F4C8">
      <w:pPr>
        <w:pStyle w:val="19"/>
        <w:ind w:firstLine="480"/>
      </w:pPr>
      <w:r>
        <w:rPr>
          <w:rFonts w:hint="eastAsia"/>
        </w:rPr>
        <w:t>宣城校区汇聚设备部署于各个楼宇，汇聚设备约</w:t>
      </w:r>
      <w:r>
        <w:t>40</w:t>
      </w:r>
      <w:r>
        <w:rPr>
          <w:rFonts w:hint="eastAsia"/>
        </w:rPr>
        <w:t>台，通过万兆双链路上连至核心、千兆单链路下连至接入层交换机。</w:t>
      </w:r>
    </w:p>
    <w:p w14:paraId="5C0E268B">
      <w:pPr>
        <w:pStyle w:val="3"/>
        <w:keepNext w:val="0"/>
        <w:keepLines w:val="0"/>
        <w:spacing w:line="240" w:lineRule="auto"/>
        <w:ind w:left="900" w:hanging="900"/>
        <w:rPr>
          <w:rFonts w:ascii="宋体" w:hAnsi="宋体" w:eastAsia="宋体" w:cs="宋体"/>
          <w:kern w:val="44"/>
          <w:sz w:val="24"/>
          <w:szCs w:val="24"/>
        </w:rPr>
      </w:pPr>
      <w:bookmarkStart w:id="38" w:name="_bookmark7"/>
      <w:bookmarkEnd w:id="38"/>
      <w:bookmarkStart w:id="39" w:name="1.2.5_认证计费现状分析"/>
      <w:bookmarkEnd w:id="39"/>
      <w:bookmarkStart w:id="40" w:name="_Toc21603"/>
      <w:bookmarkStart w:id="41" w:name="_Toc3045"/>
      <w:bookmarkStart w:id="42" w:name="_Toc12354"/>
      <w:bookmarkStart w:id="43" w:name="_Toc11603"/>
      <w:bookmarkStart w:id="44" w:name="_Toc25628"/>
      <w:r>
        <w:rPr>
          <w:rFonts w:hint="eastAsia" w:ascii="宋体" w:hAnsi="宋体" w:eastAsia="宋体" w:cs="宋体"/>
          <w:kern w:val="44"/>
          <w:sz w:val="24"/>
          <w:szCs w:val="24"/>
        </w:rPr>
        <w:t>2.5认证计费现状</w:t>
      </w:r>
      <w:bookmarkEnd w:id="40"/>
      <w:bookmarkEnd w:id="41"/>
      <w:bookmarkEnd w:id="42"/>
      <w:bookmarkEnd w:id="43"/>
      <w:bookmarkEnd w:id="44"/>
    </w:p>
    <w:p w14:paraId="7EDD7169">
      <w:pPr>
        <w:pStyle w:val="19"/>
        <w:ind w:firstLine="480"/>
      </w:pPr>
      <w:r>
        <w:rPr>
          <w:rFonts w:hint="eastAsia"/>
        </w:rPr>
        <w:t>教育网、电信、移动、联通四个出口分别建设有四套独立的实名制准出控制、出口网关、交换机设备；四套出口各设备间通过万兆单链路串联。</w:t>
      </w:r>
    </w:p>
    <w:p w14:paraId="35119BB8">
      <w:pPr>
        <w:pStyle w:val="19"/>
        <w:ind w:firstLine="480"/>
      </w:pPr>
      <w:r>
        <w:rPr>
          <w:rFonts w:hint="eastAsia"/>
        </w:rPr>
        <w:t>四套认证计费网关为城市热点Dr.COM-2166，实现对用户上网流量进行拦截，进行portal准出认证。其中办公区有线流量仅由教育网出口的城市热点 Dr.COM-2166拦截认证时，portal认证界面上可进行出口选择（教育网出口、电信出口、移动出口、联通出口），选择对应出口后，若选择的是非教育网出口，可通过引流交换机引流，将流量引流至对应的出口路由设备进行转发。同时还部署了一套城市热点 Dr.COM-2188为教育网eduroam无线网提供802.1X认证。</w:t>
      </w:r>
    </w:p>
    <w:p w14:paraId="41E70F33">
      <w:pPr>
        <w:pStyle w:val="19"/>
        <w:ind w:firstLine="480"/>
      </w:pPr>
      <w:r>
        <w:rPr>
          <w:rFonts w:hint="eastAsia"/>
        </w:rPr>
        <w:t>宣城校区建设有两套独立的实名制准出控制、出口网关、交换机设备；两套出口各设备间通过万兆单链路串联。两套认证计费网关为城市热点 Dr.COM-2166，实现对用户上网流量进行拦截，进行portal准出认证。性能低下、不稳定，对ipv</w:t>
      </w:r>
      <w:r>
        <w:t>6</w:t>
      </w:r>
      <w:r>
        <w:rPr>
          <w:rFonts w:hint="eastAsia"/>
        </w:rPr>
        <w:t>支持度不高，不满足当前及以后业务发展和使用需求。</w:t>
      </w:r>
    </w:p>
    <w:p w14:paraId="759381ED">
      <w:pPr>
        <w:pStyle w:val="19"/>
        <w:ind w:firstLine="480"/>
        <w:rPr>
          <w:rFonts w:cs="仿宋"/>
          <w:sz w:val="32"/>
          <w:szCs w:val="32"/>
        </w:rPr>
      </w:pPr>
      <w:r>
        <w:rPr>
          <w:rFonts w:hint="eastAsia"/>
        </w:rPr>
        <w:t>学校的整体运营模式为租赁运营商的出口带宽，学校自己运营，对师生实名开户认证计费上网。</w:t>
      </w:r>
      <w:bookmarkStart w:id="45" w:name="1.2.6_IPV6建设现状分析"/>
      <w:bookmarkEnd w:id="45"/>
      <w:bookmarkStart w:id="46" w:name="_bookmark8"/>
      <w:bookmarkEnd w:id="46"/>
      <w:bookmarkStart w:id="47" w:name="_Toc24580"/>
    </w:p>
    <w:p w14:paraId="3637BAFC">
      <w:pPr>
        <w:pStyle w:val="3"/>
        <w:keepNext w:val="0"/>
        <w:keepLines w:val="0"/>
        <w:spacing w:line="240" w:lineRule="auto"/>
        <w:ind w:left="900" w:hanging="900"/>
        <w:rPr>
          <w:rFonts w:ascii="宋体" w:hAnsi="宋体" w:eastAsia="宋体" w:cs="宋体"/>
          <w:kern w:val="44"/>
          <w:sz w:val="24"/>
          <w:szCs w:val="24"/>
        </w:rPr>
      </w:pPr>
      <w:bookmarkStart w:id="48" w:name="_Toc30947"/>
      <w:bookmarkStart w:id="49" w:name="_Toc26888"/>
      <w:bookmarkStart w:id="50" w:name="_Toc12331"/>
      <w:bookmarkStart w:id="51" w:name="_Toc8041"/>
      <w:r>
        <w:rPr>
          <w:rFonts w:hint="eastAsia" w:ascii="宋体" w:hAnsi="宋体" w:eastAsia="宋体" w:cs="宋体"/>
          <w:kern w:val="44"/>
          <w:sz w:val="24"/>
          <w:szCs w:val="24"/>
        </w:rPr>
        <w:t>2.6IPv6 建设现状分析</w:t>
      </w:r>
      <w:bookmarkEnd w:id="47"/>
      <w:bookmarkEnd w:id="48"/>
      <w:bookmarkEnd w:id="49"/>
      <w:bookmarkEnd w:id="50"/>
      <w:bookmarkEnd w:id="51"/>
    </w:p>
    <w:p w14:paraId="27C0FB7D">
      <w:pPr>
        <w:pStyle w:val="19"/>
        <w:ind w:firstLine="480"/>
      </w:pPr>
      <w:r>
        <w:rPr>
          <w:rFonts w:hint="eastAsia"/>
        </w:rPr>
        <w:t>目前的IPv6建设采用双栈建设模式，仅有教育网出口开通了10G的IPv6 带宽。无线终端的IPv6业务访问，采用IPv4认证放通IPv6流量的模式。</w:t>
      </w:r>
    </w:p>
    <w:p w14:paraId="4C99B6EA">
      <w:pPr>
        <w:pStyle w:val="19"/>
        <w:ind w:firstLine="480"/>
      </w:pPr>
      <w:r>
        <w:rPr>
          <w:rFonts w:hint="eastAsia"/>
        </w:rPr>
        <w:t>有线终端的IPv6业务访问未进行认证，出口直接放通IPv6业务流量；仅教育网出口部署防火墙进行IPv6业务访问进行安全防护。</w:t>
      </w:r>
    </w:p>
    <w:p w14:paraId="3EA948E5">
      <w:pPr>
        <w:pStyle w:val="19"/>
        <w:ind w:firstLine="480"/>
        <w:rPr>
          <w:rFonts w:cs="仿宋"/>
          <w:sz w:val="32"/>
          <w:szCs w:val="32"/>
        </w:rPr>
      </w:pPr>
      <w:r>
        <w:rPr>
          <w:rFonts w:hint="eastAsia"/>
        </w:rPr>
        <w:t>目前电信、移动、联通3家运营商的出口带宽中已经支持IPv6协议，但由于出口设备接口等硬件条件限制，运营商出口的IPv6暂未得到充分使用，需待本项目实施后才能全面完成IPv6的部署并全面支持开通单栈IPv6链路。</w:t>
      </w:r>
      <w:bookmarkStart w:id="52" w:name="1.2.7_网络配置现状分析"/>
      <w:bookmarkEnd w:id="52"/>
      <w:bookmarkStart w:id="53" w:name="_bookmark9"/>
      <w:bookmarkEnd w:id="53"/>
      <w:bookmarkStart w:id="54" w:name="_Toc17266"/>
    </w:p>
    <w:p w14:paraId="5637E0B7">
      <w:pPr>
        <w:pStyle w:val="3"/>
        <w:keepNext w:val="0"/>
        <w:keepLines w:val="0"/>
        <w:spacing w:line="240" w:lineRule="auto"/>
        <w:ind w:left="900" w:hanging="900"/>
        <w:rPr>
          <w:rFonts w:ascii="宋体" w:hAnsi="宋体" w:eastAsia="宋体" w:cs="宋体"/>
          <w:kern w:val="44"/>
          <w:sz w:val="24"/>
          <w:szCs w:val="24"/>
        </w:rPr>
      </w:pPr>
      <w:bookmarkStart w:id="55" w:name="_Toc26667"/>
      <w:bookmarkStart w:id="56" w:name="_Toc14588"/>
      <w:bookmarkStart w:id="57" w:name="_Toc16077"/>
      <w:bookmarkStart w:id="58" w:name="_Toc31627"/>
      <w:r>
        <w:rPr>
          <w:rFonts w:hint="eastAsia" w:ascii="宋体" w:hAnsi="宋体" w:eastAsia="宋体" w:cs="宋体"/>
          <w:kern w:val="44"/>
          <w:sz w:val="24"/>
          <w:szCs w:val="24"/>
        </w:rPr>
        <w:t>2.7网络配置现状分析</w:t>
      </w:r>
      <w:bookmarkEnd w:id="54"/>
      <w:bookmarkEnd w:id="55"/>
      <w:bookmarkEnd w:id="56"/>
      <w:bookmarkEnd w:id="57"/>
      <w:bookmarkEnd w:id="58"/>
    </w:p>
    <w:p w14:paraId="10BDDD8A">
      <w:pPr>
        <w:pStyle w:val="19"/>
        <w:ind w:firstLine="480"/>
      </w:pPr>
      <w:r>
        <w:rPr>
          <w:rFonts w:hint="eastAsia"/>
        </w:rPr>
        <w:t>学校目前由有线核心、无线核心两个核心所在区域组建骨干区域Area0，下面各个楼宇之间通过Route-id划分为其他区域，各个楼宇的边缘设备为ABR 设备与骨干区域连接。</w:t>
      </w:r>
    </w:p>
    <w:p w14:paraId="4FE1C051">
      <w:pPr>
        <w:pStyle w:val="19"/>
        <w:ind w:firstLine="480"/>
        <w:rPr>
          <w:rFonts w:cs="仿宋"/>
          <w:sz w:val="32"/>
          <w:szCs w:val="32"/>
        </w:rPr>
      </w:pPr>
      <w:r>
        <w:rPr>
          <w:rFonts w:hint="eastAsia"/>
        </w:rPr>
        <w:t>有线核心与无线核心链路互为备份，通过OSPF链路开销算法保证路由冗余，设备正常运行情况下，无线流量从各楼宇边缘设备直接向无线核心转发，主干核心设备故障时流量便由各楼宇边缘设备向有线核心转发，有线流量转发路径同理；保证节点设备故障时用户可以正常访问外网。</w:t>
      </w:r>
    </w:p>
    <w:p w14:paraId="2CC302E2">
      <w:pPr>
        <w:pStyle w:val="6"/>
        <w:jc w:val="center"/>
        <w:rPr>
          <w:rFonts w:ascii="仿宋" w:hAnsi="仿宋" w:eastAsia="仿宋"/>
        </w:rPr>
      </w:pPr>
      <w:r>
        <w:rPr>
          <w:rFonts w:hint="eastAsia" w:ascii="仿宋" w:hAnsi="仿宋" w:eastAsia="仿宋"/>
        </w:rPr>
        <w:drawing>
          <wp:anchor distT="0" distB="0" distL="114300" distR="114300" simplePos="0" relativeHeight="251660288" behindDoc="0" locked="0" layoutInCell="1" allowOverlap="0">
            <wp:simplePos x="0" y="0"/>
            <wp:positionH relativeFrom="column">
              <wp:posOffset>172720</wp:posOffset>
            </wp:positionH>
            <wp:positionV relativeFrom="paragraph">
              <wp:posOffset>207010</wp:posOffset>
            </wp:positionV>
            <wp:extent cx="5493385" cy="2508885"/>
            <wp:effectExtent l="0" t="0" r="12065" b="57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93385" cy="2508885"/>
                    </a:xfrm>
                    <a:prstGeom prst="rect">
                      <a:avLst/>
                    </a:prstGeom>
                    <a:noFill/>
                    <a:ln>
                      <a:noFill/>
                    </a:ln>
                  </pic:spPr>
                </pic:pic>
              </a:graphicData>
            </a:graphic>
          </wp:anchor>
        </w:drawing>
      </w:r>
      <w:r>
        <w:rPr>
          <w:rFonts w:hint="eastAsia" w:ascii="仿宋" w:hAnsi="仿宋" w:eastAsia="仿宋"/>
        </w:rPr>
        <w:t>图  2-3当前IPV4-OSPF 规划情况</w:t>
      </w:r>
    </w:p>
    <w:p w14:paraId="29016F27">
      <w:pPr>
        <w:pStyle w:val="6"/>
        <w:ind w:firstLine="123" w:firstLineChars="59"/>
        <w:jc w:val="center"/>
        <w:rPr>
          <w:rFonts w:eastAsia="仿宋" w:cs="仿宋"/>
        </w:rPr>
      </w:pPr>
      <w:r>
        <w:rPr>
          <w:rFonts w:hint="eastAsia" w:eastAsia="仿宋" w:cs="仿宋"/>
        </w:rPr>
        <w:drawing>
          <wp:anchor distT="0" distB="0" distL="114300" distR="114300" simplePos="0" relativeHeight="251661312" behindDoc="0" locked="0" layoutInCell="1" allowOverlap="0">
            <wp:simplePos x="0" y="0"/>
            <wp:positionH relativeFrom="column">
              <wp:posOffset>232410</wp:posOffset>
            </wp:positionH>
            <wp:positionV relativeFrom="paragraph">
              <wp:posOffset>0</wp:posOffset>
            </wp:positionV>
            <wp:extent cx="5059045" cy="2338705"/>
            <wp:effectExtent l="0" t="0" r="825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59045" cy="2338705"/>
                    </a:xfrm>
                    <a:prstGeom prst="rect">
                      <a:avLst/>
                    </a:prstGeom>
                    <a:noFill/>
                    <a:ln>
                      <a:noFill/>
                    </a:ln>
                  </pic:spPr>
                </pic:pic>
              </a:graphicData>
            </a:graphic>
          </wp:anchor>
        </w:drawing>
      </w:r>
      <w:r>
        <w:rPr>
          <w:rFonts w:hint="eastAsia" w:ascii="仿宋" w:eastAsia="仿宋"/>
          <w:spacing w:val="-30"/>
        </w:rPr>
        <w:t>图  2-</w:t>
      </w:r>
      <w:r>
        <w:rPr>
          <w:rFonts w:hint="eastAsia" w:eastAsia="仿宋"/>
        </w:rPr>
        <w:t>4当前IPv6-OSPF</w:t>
      </w:r>
      <w:r>
        <w:rPr>
          <w:rFonts w:hint="eastAsia" w:eastAsia="仿宋"/>
          <w:spacing w:val="-14"/>
        </w:rPr>
        <w:t xml:space="preserve"> 规划</w:t>
      </w:r>
    </w:p>
    <w:p w14:paraId="0BEB33D5">
      <w:pPr>
        <w:pStyle w:val="3"/>
        <w:keepNext w:val="0"/>
        <w:keepLines w:val="0"/>
        <w:spacing w:line="240" w:lineRule="auto"/>
        <w:ind w:left="900" w:hanging="900"/>
        <w:rPr>
          <w:rFonts w:ascii="宋体" w:hAnsi="宋体" w:eastAsia="宋体" w:cs="宋体"/>
          <w:kern w:val="44"/>
          <w:sz w:val="24"/>
          <w:szCs w:val="24"/>
        </w:rPr>
      </w:pPr>
      <w:bookmarkStart w:id="59" w:name="_Toc32348"/>
      <w:bookmarkStart w:id="60" w:name="_Toc21533"/>
      <w:r>
        <w:rPr>
          <w:rFonts w:hint="eastAsia" w:ascii="宋体" w:hAnsi="宋体" w:eastAsia="宋体" w:cs="宋体"/>
          <w:kern w:val="44"/>
          <w:sz w:val="24"/>
          <w:szCs w:val="24"/>
        </w:rPr>
        <w:t>2.8校园网升级优化需求</w:t>
      </w:r>
      <w:bookmarkEnd w:id="59"/>
      <w:bookmarkEnd w:id="60"/>
    </w:p>
    <w:p w14:paraId="6DBAC88C">
      <w:pPr>
        <w:pStyle w:val="19"/>
        <w:ind w:firstLine="480"/>
      </w:pPr>
      <w:r>
        <w:rPr>
          <w:rFonts w:hint="eastAsia"/>
        </w:rPr>
        <w:t>本次项目旨在优化校园网架构，遵循开放、通用原则，避免软硬件排他性捆绑。针对合肥工业大学特点，将简化骨干网络设计，替换屯溪路、翡翠湖和宣城校区核心设备，采用双核心交换机虚拟化部署，增强网络稳定性。</w:t>
      </w:r>
    </w:p>
    <w:p w14:paraId="7DD36BBC">
      <w:pPr>
        <w:pStyle w:val="19"/>
        <w:ind w:firstLine="480"/>
        <w:rPr>
          <w:rFonts w:cs="仿宋"/>
          <w:sz w:val="32"/>
          <w:szCs w:val="32"/>
        </w:rPr>
      </w:pPr>
      <w:r>
        <w:rPr>
          <w:rFonts w:hint="eastAsia"/>
        </w:rPr>
        <w:t>合肥校区将合并四个运营商出口，使用高性能设备HA部署，简化运维管理，提升稳定性。网络主干链路带宽升级至100G，屯溪路校区与翡翠湖校区核心设备间100G互联，六安路校区10G互联。出口区增加专业安全设备，构建多层次网络安全防御体系。采购设备应支持IPv6实名审计和流量调度，具备未来IPv6单栈部署能力。</w:t>
      </w:r>
    </w:p>
    <w:p w14:paraId="413B2A3A">
      <w:pPr>
        <w:pStyle w:val="19"/>
        <w:ind w:firstLine="480"/>
      </w:pPr>
      <w:r>
        <w:rPr>
          <w:rFonts w:hint="eastAsia"/>
        </w:rPr>
        <w:t>宣城校区将考虑与本部的内网互联,物理链路采用两家不同的线路，各</w:t>
      </w:r>
      <w:r>
        <w:t>1G,</w:t>
      </w:r>
      <w:r>
        <w:rPr>
          <w:rFonts w:hint="eastAsia"/>
        </w:rPr>
        <w:t>采用VPN和IPv6直接互访模式，并确保安全性。校园网骨干网带宽设计以</w:t>
      </w:r>
      <w:r>
        <w:t>10G传输技术为主，并在大带宽应用保障区域辅以40G传输技术，并且考虑未来向100G进行升级的能力。</w:t>
      </w:r>
      <w:r>
        <w:rPr>
          <w:rFonts w:hint="eastAsia"/>
        </w:rPr>
        <w:t>采购设备应支持IPv6实名审计和流量调度，具备未来IPv6单栈部署能力。</w:t>
      </w:r>
      <w:r>
        <w:t>具体规划如下：</w:t>
      </w:r>
    </w:p>
    <w:p w14:paraId="62E0AF38">
      <w:pPr>
        <w:pStyle w:val="19"/>
        <w:ind w:firstLine="480"/>
      </w:pPr>
      <w:r>
        <w:rPr>
          <w:rFonts w:hint="eastAsia"/>
        </w:rPr>
        <w:t>（</w:t>
      </w:r>
      <w:r>
        <w:t>1）教学楼汇聚到核心采用40G光纤传输技术进行连接，以保障线上教学、多媒体慕课、VR课堂等需求；</w:t>
      </w:r>
    </w:p>
    <w:p w14:paraId="7B8C2F38">
      <w:pPr>
        <w:pStyle w:val="19"/>
        <w:ind w:firstLine="480"/>
      </w:pPr>
      <w:r>
        <w:rPr>
          <w:rFonts w:hint="eastAsia"/>
        </w:rPr>
        <w:t>（</w:t>
      </w:r>
      <w:r>
        <w:t>2）双核心间采用40G光纤传输技术进行连接，以保障跨核心的数据转发能力；</w:t>
      </w:r>
    </w:p>
    <w:p w14:paraId="085B57DE">
      <w:pPr>
        <w:pStyle w:val="19"/>
        <w:ind w:firstLine="480"/>
      </w:pPr>
      <w:r>
        <w:drawing>
          <wp:anchor distT="0" distB="0" distL="114300" distR="114300" simplePos="0" relativeHeight="251665408" behindDoc="0" locked="0" layoutInCell="1" allowOverlap="0">
            <wp:simplePos x="0" y="0"/>
            <wp:positionH relativeFrom="margin">
              <wp:posOffset>396240</wp:posOffset>
            </wp:positionH>
            <wp:positionV relativeFrom="paragraph">
              <wp:posOffset>638175</wp:posOffset>
            </wp:positionV>
            <wp:extent cx="4820920" cy="3479165"/>
            <wp:effectExtent l="0" t="0" r="17780" b="6985"/>
            <wp:wrapTopAndBottom/>
            <wp:docPr id="1906854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4927" name="图片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a:xfrm>
                      <a:off x="0" y="0"/>
                      <a:ext cx="4820920" cy="3479165"/>
                    </a:xfrm>
                    <a:prstGeom prst="rect">
                      <a:avLst/>
                    </a:prstGeom>
                    <a:noFill/>
                  </pic:spPr>
                </pic:pic>
              </a:graphicData>
            </a:graphic>
          </wp:anchor>
        </w:drawing>
      </w:r>
      <w:r>
        <w:rPr>
          <w:rFonts w:hint="eastAsia"/>
        </w:rPr>
        <w:t>（</w:t>
      </w:r>
      <w:r>
        <w:t>3）办公、生活区将仍延续现有10G光纤传输技术，在少数流量超限区域，采用链路聚合技术进行优化。</w:t>
      </w:r>
    </w:p>
    <w:p w14:paraId="199B6FF8">
      <w:pPr>
        <w:pStyle w:val="19"/>
        <w:ind w:firstLine="420"/>
        <w:jc w:val="center"/>
      </w:pPr>
      <w:r>
        <w:drawing>
          <wp:anchor distT="0" distB="0" distL="114300" distR="114300" simplePos="0" relativeHeight="251668480" behindDoc="0" locked="0" layoutInCell="1" allowOverlap="0">
            <wp:simplePos x="0" y="0"/>
            <wp:positionH relativeFrom="column">
              <wp:posOffset>538480</wp:posOffset>
            </wp:positionH>
            <wp:positionV relativeFrom="paragraph">
              <wp:posOffset>4187825</wp:posOffset>
            </wp:positionV>
            <wp:extent cx="3954145" cy="3315970"/>
            <wp:effectExtent l="0" t="0" r="8255" b="17780"/>
            <wp:wrapTopAndBottom/>
            <wp:docPr id="1014983156" name="图片 101498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83156" name="图片 1014983156"/>
                    <pic:cNvPicPr>
                      <a:picLocks noChangeAspect="1"/>
                    </pic:cNvPicPr>
                  </pic:nvPicPr>
                  <pic:blipFill>
                    <a:blip r:embed="rId9">
                      <a:grayscl/>
                      <a:extLst>
                        <a:ext uri="{28A0092B-C50C-407E-A947-70E740481C1C}">
                          <a14:useLocalDpi xmlns:a14="http://schemas.microsoft.com/office/drawing/2010/main" val="0"/>
                        </a:ext>
                      </a:extLst>
                    </a:blip>
                    <a:stretch>
                      <a:fillRect/>
                    </a:stretch>
                  </pic:blipFill>
                  <pic:spPr>
                    <a:xfrm>
                      <a:off x="0" y="0"/>
                      <a:ext cx="3954145" cy="3315970"/>
                    </a:xfrm>
                    <a:prstGeom prst="rect">
                      <a:avLst/>
                    </a:prstGeom>
                  </pic:spPr>
                </pic:pic>
              </a:graphicData>
            </a:graphic>
          </wp:anchor>
        </w:drawing>
      </w:r>
      <w:r>
        <w:rPr>
          <w:rFonts w:hint="eastAsia" w:ascii="仿宋" w:hAnsi="仿宋" w:eastAsia="仿宋"/>
        </w:rPr>
        <w:t>图2</w:t>
      </w:r>
      <w:r>
        <w:rPr>
          <w:rFonts w:ascii="仿宋" w:hAnsi="仿宋" w:eastAsia="仿宋"/>
        </w:rPr>
        <w:t xml:space="preserve">-5 </w:t>
      </w:r>
      <w:r>
        <w:rPr>
          <w:rFonts w:hint="eastAsia" w:ascii="仿宋" w:hAnsi="仿宋" w:eastAsia="仿宋"/>
        </w:rPr>
        <w:t>合肥校区升级优化后校园网拓扑参考图</w:t>
      </w:r>
    </w:p>
    <w:p w14:paraId="1AFFDE28">
      <w:pPr>
        <w:jc w:val="center"/>
        <w:rPr>
          <w:rFonts w:ascii="仿宋" w:hAnsi="仿宋" w:eastAsia="仿宋"/>
        </w:rPr>
      </w:pPr>
      <w:bookmarkStart w:id="61" w:name="_Toc26451"/>
      <w:bookmarkStart w:id="62" w:name="_Toc14784"/>
    </w:p>
    <w:p w14:paraId="282EE2AA">
      <w:pPr>
        <w:jc w:val="center"/>
        <w:rPr>
          <w:rFonts w:ascii="仿宋" w:hAnsi="仿宋" w:eastAsia="仿宋"/>
        </w:rPr>
      </w:pPr>
    </w:p>
    <w:p w14:paraId="2C107862">
      <w:pPr>
        <w:jc w:val="center"/>
        <w:rPr>
          <w:rFonts w:ascii="仿宋" w:hAnsi="仿宋" w:eastAsia="仿宋"/>
        </w:rPr>
      </w:pPr>
      <w:r>
        <w:rPr>
          <w:rFonts w:hint="eastAsia" w:ascii="仿宋" w:hAnsi="仿宋" w:eastAsia="仿宋"/>
        </w:rPr>
        <w:t>图2</w:t>
      </w:r>
      <w:r>
        <w:rPr>
          <w:rFonts w:ascii="仿宋" w:hAnsi="仿宋" w:eastAsia="仿宋"/>
        </w:rPr>
        <w:t>-</w:t>
      </w:r>
      <w:r>
        <w:rPr>
          <w:rFonts w:hint="eastAsia" w:ascii="仿宋" w:hAnsi="仿宋" w:eastAsia="仿宋"/>
        </w:rPr>
        <w:t>6</w:t>
      </w:r>
      <w:r>
        <w:rPr>
          <w:rFonts w:ascii="仿宋" w:hAnsi="仿宋" w:eastAsia="仿宋"/>
        </w:rPr>
        <w:t xml:space="preserve"> </w:t>
      </w:r>
      <w:r>
        <w:rPr>
          <w:rFonts w:hint="eastAsia" w:ascii="仿宋" w:hAnsi="仿宋" w:eastAsia="仿宋"/>
        </w:rPr>
        <w:t>宣城校区升级优化后校园网拓扑</w:t>
      </w:r>
    </w:p>
    <w:p w14:paraId="48E98B33">
      <w:pPr>
        <w:pStyle w:val="4"/>
        <w:keepNext w:val="0"/>
        <w:keepLines w:val="0"/>
        <w:numPr>
          <w:ilvl w:val="2"/>
          <w:numId w:val="0"/>
        </w:numPr>
        <w:ind w:left="420" w:hanging="420"/>
        <w:jc w:val="center"/>
        <w:rPr>
          <w:rFonts w:ascii="宋体" w:hAnsi="宋体" w:eastAsia="宋体" w:cs="宋体"/>
          <w:sz w:val="24"/>
          <w:szCs w:val="24"/>
        </w:rPr>
      </w:pPr>
      <w:r>
        <w:rPr>
          <w:rFonts w:hint="eastAsia" w:ascii="仿宋" w:hAnsi="仿宋" w:eastAsia="仿宋"/>
          <w:b w:val="0"/>
          <w:bCs w:val="0"/>
          <w:sz w:val="21"/>
          <w:szCs w:val="20"/>
        </w:rPr>
        <w:t>图 2-7 HA双机设备</w:t>
      </w:r>
      <w:r>
        <w:rPr>
          <w:rFonts w:hint="eastAsia" w:ascii="宋体" w:hAnsi="宋体" w:eastAsia="宋体" w:cs="宋体"/>
          <w:sz w:val="24"/>
          <w:szCs w:val="24"/>
        </w:rPr>
        <w:drawing>
          <wp:anchor distT="0" distB="0" distL="114300" distR="114300" simplePos="0" relativeHeight="251667456" behindDoc="0" locked="0" layoutInCell="1" allowOverlap="0">
            <wp:simplePos x="0" y="0"/>
            <wp:positionH relativeFrom="column">
              <wp:posOffset>1343660</wp:posOffset>
            </wp:positionH>
            <wp:positionV relativeFrom="paragraph">
              <wp:posOffset>362585</wp:posOffset>
            </wp:positionV>
            <wp:extent cx="2794000" cy="2223770"/>
            <wp:effectExtent l="0" t="0" r="6350" b="508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a:xfrm>
                      <a:off x="0" y="0"/>
                      <a:ext cx="2794000" cy="2223770"/>
                    </a:xfrm>
                    <a:prstGeom prst="rect">
                      <a:avLst/>
                    </a:prstGeom>
                    <a:noFill/>
                    <a:ln>
                      <a:noFill/>
                    </a:ln>
                  </pic:spPr>
                </pic:pic>
              </a:graphicData>
            </a:graphic>
          </wp:anchor>
        </w:drawing>
      </w:r>
    </w:p>
    <w:p w14:paraId="5F8B43BF">
      <w:pPr>
        <w:pStyle w:val="3"/>
        <w:keepNext w:val="0"/>
        <w:keepLines w:val="0"/>
        <w:spacing w:line="240" w:lineRule="auto"/>
        <w:ind w:left="900" w:hanging="900"/>
        <w:rPr>
          <w:rFonts w:ascii="宋体" w:hAnsi="宋体" w:eastAsia="宋体" w:cs="宋体"/>
          <w:kern w:val="44"/>
          <w:sz w:val="24"/>
          <w:szCs w:val="24"/>
        </w:rPr>
      </w:pPr>
      <w:bookmarkStart w:id="63" w:name="_Toc25188"/>
      <w:bookmarkStart w:id="64" w:name="_Toc21958"/>
      <w:r>
        <w:rPr>
          <w:rFonts w:hint="eastAsia" w:ascii="宋体" w:hAnsi="宋体" w:eastAsia="宋体" w:cs="宋体"/>
          <w:kern w:val="44"/>
          <w:sz w:val="24"/>
          <w:szCs w:val="24"/>
        </w:rPr>
        <w:t>2.8.1高性能出口</w:t>
      </w:r>
      <w:bookmarkEnd w:id="61"/>
      <w:bookmarkEnd w:id="62"/>
      <w:bookmarkEnd w:id="63"/>
      <w:bookmarkEnd w:id="64"/>
    </w:p>
    <w:p w14:paraId="6547D555">
      <w:pPr>
        <w:pStyle w:val="19"/>
        <w:ind w:firstLine="480"/>
      </w:pPr>
      <w:r>
        <w:rPr>
          <w:rFonts w:hint="eastAsia"/>
        </w:rPr>
        <w:t>合肥校区采用HA技术部署两台高性能出口设备，实现活动节点与备用节点间的监控与故障自动接管，确保业务连续性和网络安全稳定。设备需支持NAT、IPv6等全业务特性，通过业务板卡提升NAT能力，内置流量可视化功能，实现7×24小时监控，保障网络健康运行。同时，支持多种IPv6路由和过渡技术，保护投资，实现IPv4到IPv6的平滑迁移。设备还需满足校园网认证需求，支持多种认证方式，双机部署支持160G带宽和8万用户并发认证，提升用户体验。</w:t>
      </w:r>
    </w:p>
    <w:p w14:paraId="58E270CA">
      <w:pPr>
        <w:pStyle w:val="19"/>
        <w:ind w:firstLine="480"/>
        <w:rPr>
          <w:rFonts w:cs="仿宋"/>
          <w:sz w:val="32"/>
          <w:szCs w:val="32"/>
        </w:rPr>
      </w:pPr>
      <w:r>
        <w:rPr>
          <w:rFonts w:hint="eastAsia"/>
        </w:rPr>
        <w:t>宣城校区的出口设备、认证设备拟从合肥校区现有的设备中利旧使用，需由投标方设计并提供具体利旧方案。具体情况可自行组织现场勘查。</w:t>
      </w:r>
    </w:p>
    <w:p w14:paraId="7C92E519">
      <w:pPr>
        <w:pStyle w:val="3"/>
        <w:keepNext w:val="0"/>
        <w:keepLines w:val="0"/>
        <w:spacing w:line="240" w:lineRule="auto"/>
        <w:ind w:left="900" w:hanging="900"/>
        <w:rPr>
          <w:rFonts w:ascii="宋体" w:hAnsi="宋体" w:eastAsia="宋体" w:cs="宋体"/>
          <w:kern w:val="44"/>
          <w:sz w:val="24"/>
          <w:szCs w:val="24"/>
        </w:rPr>
      </w:pPr>
      <w:bookmarkStart w:id="65" w:name="_Toc32475"/>
      <w:bookmarkStart w:id="66" w:name="_Toc21930"/>
      <w:bookmarkStart w:id="67" w:name="_Toc6787"/>
      <w:bookmarkStart w:id="68" w:name="_Toc15264"/>
      <w:bookmarkStart w:id="69" w:name="_Toc5388"/>
      <w:r>
        <w:rPr>
          <w:rFonts w:hint="eastAsia" w:ascii="宋体" w:hAnsi="宋体" w:eastAsia="宋体" w:cs="宋体"/>
          <w:kern w:val="44"/>
          <w:sz w:val="24"/>
          <w:szCs w:val="24"/>
        </w:rPr>
        <w:t>2.8.2高性能核心交换机</w:t>
      </w:r>
      <w:bookmarkEnd w:id="65"/>
      <w:r>
        <w:rPr>
          <w:rFonts w:hint="eastAsia" w:ascii="宋体" w:hAnsi="宋体" w:eastAsia="宋体" w:cs="宋体"/>
          <w:kern w:val="44"/>
          <w:sz w:val="24"/>
          <w:szCs w:val="24"/>
        </w:rPr>
        <w:t>升级优化</w:t>
      </w:r>
      <w:bookmarkEnd w:id="66"/>
      <w:bookmarkEnd w:id="67"/>
      <w:bookmarkEnd w:id="68"/>
      <w:bookmarkEnd w:id="69"/>
      <w:bookmarkStart w:id="70" w:name="2.3.1_高可靠性设计"/>
      <w:bookmarkEnd w:id="70"/>
      <w:bookmarkStart w:id="71" w:name="_bookmark29"/>
      <w:bookmarkEnd w:id="71"/>
      <w:bookmarkStart w:id="72" w:name="_Toc9308"/>
    </w:p>
    <w:p w14:paraId="0958E58A">
      <w:pPr>
        <w:pStyle w:val="21"/>
        <w:widowControl w:val="0"/>
        <w:numPr>
          <w:ilvl w:val="0"/>
          <w:numId w:val="1"/>
        </w:numPr>
      </w:pPr>
      <w:r>
        <w:rPr>
          <w:rFonts w:hint="eastAsia"/>
        </w:rPr>
        <w:t>高可靠性</w:t>
      </w:r>
      <w:bookmarkEnd w:id="72"/>
    </w:p>
    <w:p w14:paraId="31061AD2">
      <w:pPr>
        <w:pStyle w:val="19"/>
        <w:ind w:firstLine="480"/>
        <w:rPr>
          <w:rFonts w:cs="仿宋"/>
          <w:sz w:val="32"/>
          <w:szCs w:val="32"/>
        </w:rPr>
      </w:pPr>
      <w:r>
        <w:rPr>
          <w:rFonts w:hint="eastAsia"/>
        </w:rPr>
        <w:drawing>
          <wp:anchor distT="0" distB="0" distL="114300" distR="114300" simplePos="0" relativeHeight="251666432" behindDoc="0" locked="0" layoutInCell="1" allowOverlap="1">
            <wp:simplePos x="0" y="0"/>
            <wp:positionH relativeFrom="column">
              <wp:posOffset>1499235</wp:posOffset>
            </wp:positionH>
            <wp:positionV relativeFrom="paragraph">
              <wp:posOffset>1079500</wp:posOffset>
            </wp:positionV>
            <wp:extent cx="2510155" cy="1684020"/>
            <wp:effectExtent l="0" t="0" r="4445" b="1143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a:xfrm>
                      <a:off x="0" y="0"/>
                      <a:ext cx="2510155" cy="1684020"/>
                    </a:xfrm>
                    <a:prstGeom prst="rect">
                      <a:avLst/>
                    </a:prstGeom>
                    <a:noFill/>
                    <a:ln>
                      <a:noFill/>
                    </a:ln>
                  </pic:spPr>
                </pic:pic>
              </a:graphicData>
            </a:graphic>
          </wp:anchor>
        </w:drawing>
      </w:r>
      <w:r>
        <w:rPr>
          <w:rFonts w:hint="eastAsia"/>
        </w:rPr>
        <w:t>核心交换区应采用双核心交换机虚拟化组网，传统网络两台核心通过MSTP/VRRP来进行热备冗余，但是存在故障切换时间长、数据恢复慢等问题。本次可优先考虑采用虚拟化技术，对核心交换机进行虚拟化，实现统一的管理界面、一致的转发表项、跨设备链路捆绑，管理和简化拓扑。</w:t>
      </w:r>
    </w:p>
    <w:p w14:paraId="4DB0006E">
      <w:pPr>
        <w:ind w:firstLine="420"/>
        <w:jc w:val="center"/>
        <w:rPr>
          <w:rFonts w:ascii="仿宋" w:hAnsi="仿宋" w:eastAsia="仿宋"/>
        </w:rPr>
      </w:pPr>
      <w:r>
        <w:rPr>
          <w:rFonts w:hint="eastAsia" w:ascii="仿宋" w:hAnsi="仿宋" w:eastAsia="仿宋"/>
        </w:rPr>
        <w:t>图  2</w:t>
      </w:r>
      <w:r>
        <w:rPr>
          <w:rFonts w:ascii="仿宋" w:hAnsi="仿宋" w:eastAsia="仿宋"/>
        </w:rPr>
        <w:t>-</w:t>
      </w:r>
      <w:r>
        <w:rPr>
          <w:rFonts w:hint="eastAsia" w:ascii="仿宋" w:hAnsi="仿宋" w:eastAsia="仿宋"/>
        </w:rPr>
        <w:t>8核心交换机虚拟化组网</w:t>
      </w:r>
    </w:p>
    <w:p w14:paraId="39F99CE7">
      <w:pPr>
        <w:pStyle w:val="19"/>
        <w:ind w:firstLine="480"/>
      </w:pPr>
      <w:r>
        <w:rPr>
          <w:rFonts w:hint="eastAsia"/>
        </w:rPr>
        <w:t>为避免因为核心交换机组件故障而引起的单点故障问题，本项目应当采用高性能框式核心交换机，以期在网络设备上进行软、硬件的架构优化，确保网络交换机具备电信级稳定性。核心交换机应具备比如双管理引擎冗余热备、多路电源，负载均衡供电、风扇冗余设计，互为备份、零故障无源背板设计等先进特性。</w:t>
      </w:r>
    </w:p>
    <w:p w14:paraId="10DA889B">
      <w:pPr>
        <w:pStyle w:val="7"/>
        <w:autoSpaceDE/>
        <w:autoSpaceDN/>
        <w:spacing w:line="300" w:lineRule="auto"/>
        <w:ind w:firstLine="420" w:firstLineChars="200"/>
        <w:jc w:val="both"/>
        <w:rPr>
          <w:rFonts w:hAnsi="宋体"/>
          <w:color w:val="auto"/>
          <w:sz w:val="21"/>
          <w:szCs w:val="21"/>
        </w:rPr>
      </w:pPr>
      <w:r>
        <w:rPr>
          <w:rFonts w:hint="eastAsia" w:hAnsi="宋体"/>
          <w:color w:val="auto"/>
          <w:sz w:val="21"/>
          <w:szCs w:val="21"/>
        </w:rPr>
        <w:t>软件稳定方面，核心交换机应当采用模块化软件系统设计，以保证网络功能被划分到具有标准接口的不同进程中，以明确定义的进程独立运行，提供网络服务和始终如一的连接性。应支持实时检测CPU的使用状态，并提供硬件CPU保护技术（CPP，Control Plane Policy），CPP技术对发往CPU的数据进行流区分和流限速，避免非法攻击包对CPU的攻击和资源消耗。</w:t>
      </w:r>
    </w:p>
    <w:p w14:paraId="5F755A69">
      <w:pPr>
        <w:pStyle w:val="21"/>
        <w:widowControl w:val="0"/>
        <w:numPr>
          <w:ilvl w:val="0"/>
          <w:numId w:val="1"/>
        </w:numPr>
      </w:pPr>
      <w:bookmarkStart w:id="73" w:name="2.3.2_高性能设计"/>
      <w:bookmarkEnd w:id="73"/>
      <w:bookmarkStart w:id="74" w:name="_bookmark30"/>
      <w:bookmarkEnd w:id="74"/>
      <w:bookmarkStart w:id="75" w:name="_Toc20458"/>
      <w:r>
        <w:rPr>
          <w:rFonts w:hint="eastAsia"/>
        </w:rPr>
        <w:t>高性能</w:t>
      </w:r>
      <w:bookmarkEnd w:id="75"/>
    </w:p>
    <w:p w14:paraId="774B28DF">
      <w:pPr>
        <w:pStyle w:val="19"/>
        <w:ind w:firstLine="480"/>
        <w:rPr>
          <w:rFonts w:cs="仿宋"/>
          <w:sz w:val="32"/>
          <w:szCs w:val="32"/>
        </w:rPr>
      </w:pPr>
      <w:r>
        <w:rPr>
          <w:rFonts w:hint="eastAsia"/>
        </w:rPr>
        <w:t>核心交换区负责汇聚各个楼栋汇聚区高性能数据转发，同时也负责与信息系统、校园网出口区之间的流量转发。其登录访问量、数据调用量、图文交换量以及响应时间要求为最高。在此进行应用带宽需求分析。</w:t>
      </w:r>
    </w:p>
    <w:p w14:paraId="5A71347C">
      <w:pPr>
        <w:pStyle w:val="21"/>
        <w:widowControl w:val="0"/>
        <w:numPr>
          <w:ilvl w:val="0"/>
          <w:numId w:val="1"/>
        </w:numPr>
      </w:pPr>
      <w:r>
        <w:rPr>
          <w:rFonts w:hint="eastAsia"/>
        </w:rPr>
        <w:t>系统最大容量</w:t>
      </w:r>
    </w:p>
    <w:p w14:paraId="512BF459">
      <w:pPr>
        <w:pStyle w:val="19"/>
        <w:ind w:firstLine="480"/>
      </w:pPr>
      <w:r>
        <w:rPr>
          <w:rFonts w:hint="eastAsia"/>
        </w:rPr>
        <w:t>我校现有在校师生员工用网账户6万个，未来5到10年拟容纳在网用户数最高8万人。在校师生每人入网终端至少1台手机、1台笔记本电脑、1台台式机，另可能有PAD、实验用机等，同时在线的终端平均约2到3台，未来可能会有更多。系统最大容量的估算：</w:t>
      </w:r>
    </w:p>
    <w:p w14:paraId="1C2A5F47">
      <w:pPr>
        <w:pStyle w:val="19"/>
        <w:ind w:firstLine="480"/>
      </w:pPr>
      <w:r>
        <w:rPr>
          <w:rFonts w:hint="eastAsia"/>
        </w:rPr>
        <w:t>现网最大终端数：6万在网用户×每用户2个在网终端=120000个</w:t>
      </w:r>
    </w:p>
    <w:p w14:paraId="2F69A90D">
      <w:pPr>
        <w:pStyle w:val="19"/>
        <w:ind w:firstLine="480"/>
      </w:pPr>
      <w:r>
        <w:rPr>
          <w:rFonts w:hint="eastAsia"/>
        </w:rPr>
        <w:t>未来5年在线最大终端数：</w:t>
      </w:r>
      <w:r>
        <w:t>8</w:t>
      </w:r>
      <w:r>
        <w:rPr>
          <w:rFonts w:hint="eastAsia"/>
        </w:rPr>
        <w:t>万在网用户×每用户3个在网终端=</w:t>
      </w:r>
      <w:r>
        <w:t>24</w:t>
      </w:r>
      <w:r>
        <w:rPr>
          <w:rFonts w:hint="eastAsia"/>
        </w:rPr>
        <w:t>0000个</w:t>
      </w:r>
    </w:p>
    <w:p w14:paraId="6AFABB82">
      <w:pPr>
        <w:pStyle w:val="19"/>
        <w:ind w:firstLine="480"/>
        <w:rPr>
          <w:rFonts w:cs="仿宋"/>
          <w:sz w:val="32"/>
          <w:szCs w:val="32"/>
        </w:rPr>
      </w:pPr>
      <w:r>
        <w:rPr>
          <w:rFonts w:hint="eastAsia"/>
        </w:rPr>
        <w:t>应用类型与带宽需求：</w:t>
      </w:r>
    </w:p>
    <w:p w14:paraId="20D9BFDD">
      <w:pPr>
        <w:pStyle w:val="6"/>
        <w:jc w:val="center"/>
        <w:rPr>
          <w:rFonts w:ascii="仿宋" w:hAnsi="仿宋" w:eastAsia="仿宋"/>
        </w:rPr>
      </w:pPr>
      <w:r>
        <w:rPr>
          <w:rFonts w:hint="eastAsia" w:ascii="仿宋" w:hAnsi="仿宋" w:eastAsia="仿宋"/>
          <w:spacing w:val="-30"/>
        </w:rPr>
        <w:t xml:space="preserve">表  </w:t>
      </w:r>
      <w:r>
        <w:rPr>
          <w:rFonts w:hint="eastAsia" w:ascii="仿宋" w:hAnsi="仿宋" w:eastAsia="仿宋"/>
        </w:rPr>
        <w:t>2-</w:t>
      </w:r>
      <w:r>
        <w:rPr>
          <w:rFonts w:ascii="仿宋" w:hAnsi="仿宋" w:eastAsia="仿宋"/>
        </w:rPr>
        <w:t>2</w:t>
      </w:r>
      <w:r>
        <w:rPr>
          <w:rFonts w:hint="eastAsia" w:ascii="仿宋" w:hAnsi="仿宋" w:eastAsia="仿宋"/>
        </w:rPr>
        <w:t>主要应用类型和带宽需求</w:t>
      </w:r>
    </w:p>
    <w:tbl>
      <w:tblPr>
        <w:tblStyle w:val="12"/>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4926"/>
        <w:gridCol w:w="4836"/>
      </w:tblGrid>
      <w:tr w14:paraId="4202B96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blHeader/>
          <w:jc w:val="center"/>
        </w:trPr>
        <w:tc>
          <w:tcPr>
            <w:tcW w:w="2523" w:type="pct"/>
            <w:shd w:val="clear" w:color="auto" w:fill="auto"/>
            <w:vAlign w:val="center"/>
          </w:tcPr>
          <w:p w14:paraId="69077E2D">
            <w:pPr>
              <w:pStyle w:val="20"/>
              <w:ind w:firstLine="422"/>
              <w:jc w:val="center"/>
              <w:rPr>
                <w:b/>
                <w:sz w:val="21"/>
              </w:rPr>
            </w:pPr>
            <w:r>
              <w:rPr>
                <w:rFonts w:hint="eastAsia"/>
                <w:b/>
                <w:sz w:val="21"/>
              </w:rPr>
              <w:t>网络业务类</w:t>
            </w:r>
            <w:r>
              <w:rPr>
                <w:rFonts w:hint="eastAsia"/>
                <w:b/>
                <w:spacing w:val="-10"/>
                <w:sz w:val="21"/>
              </w:rPr>
              <w:t>型</w:t>
            </w:r>
          </w:p>
        </w:tc>
        <w:tc>
          <w:tcPr>
            <w:tcW w:w="2477" w:type="pct"/>
            <w:shd w:val="clear" w:color="auto" w:fill="auto"/>
            <w:vAlign w:val="center"/>
          </w:tcPr>
          <w:p w14:paraId="79A497BB">
            <w:pPr>
              <w:pStyle w:val="20"/>
              <w:ind w:firstLine="422"/>
              <w:jc w:val="center"/>
              <w:rPr>
                <w:b/>
                <w:sz w:val="21"/>
              </w:rPr>
            </w:pPr>
            <w:r>
              <w:rPr>
                <w:rFonts w:hint="eastAsia"/>
                <w:b/>
                <w:sz w:val="21"/>
              </w:rPr>
              <w:t>单路带宽（Mb/s）</w:t>
            </w:r>
          </w:p>
        </w:tc>
      </w:tr>
      <w:tr w14:paraId="5B8C293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4756353D">
            <w:pPr>
              <w:pStyle w:val="20"/>
              <w:ind w:firstLine="420"/>
              <w:rPr>
                <w:sz w:val="21"/>
              </w:rPr>
            </w:pPr>
            <w:r>
              <w:rPr>
                <w:rFonts w:hint="eastAsia"/>
                <w:sz w:val="21"/>
              </w:rPr>
              <w:t>普通视频点播</w:t>
            </w:r>
          </w:p>
        </w:tc>
        <w:tc>
          <w:tcPr>
            <w:tcW w:w="2477" w:type="pct"/>
            <w:shd w:val="clear" w:color="auto" w:fill="auto"/>
            <w:vAlign w:val="center"/>
          </w:tcPr>
          <w:p w14:paraId="1B65A055">
            <w:pPr>
              <w:pStyle w:val="20"/>
              <w:ind w:firstLine="420"/>
              <w:rPr>
                <w:sz w:val="21"/>
              </w:rPr>
            </w:pPr>
            <w:r>
              <w:rPr>
                <w:rFonts w:hint="eastAsia"/>
                <w:sz w:val="21"/>
              </w:rPr>
              <w:t>4</w:t>
            </w:r>
          </w:p>
        </w:tc>
      </w:tr>
      <w:tr w14:paraId="10D0ED4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4321AD63">
            <w:pPr>
              <w:pStyle w:val="20"/>
              <w:ind w:firstLine="420"/>
              <w:rPr>
                <w:sz w:val="21"/>
              </w:rPr>
            </w:pPr>
            <w:r>
              <w:rPr>
                <w:rFonts w:hint="eastAsia"/>
                <w:sz w:val="21"/>
              </w:rPr>
              <w:t>8K视频</w:t>
            </w:r>
          </w:p>
        </w:tc>
        <w:tc>
          <w:tcPr>
            <w:tcW w:w="2477" w:type="pct"/>
            <w:shd w:val="clear" w:color="auto" w:fill="auto"/>
            <w:vAlign w:val="center"/>
          </w:tcPr>
          <w:p w14:paraId="3AB42A70">
            <w:pPr>
              <w:pStyle w:val="20"/>
              <w:ind w:firstLine="420"/>
              <w:rPr>
                <w:sz w:val="21"/>
              </w:rPr>
            </w:pPr>
            <w:r>
              <w:rPr>
                <w:rFonts w:hint="eastAsia"/>
                <w:sz w:val="21"/>
              </w:rPr>
              <w:t>24fps/H.265:80Mbps</w:t>
            </w:r>
          </w:p>
          <w:p w14:paraId="528B2CA6">
            <w:pPr>
              <w:pStyle w:val="20"/>
              <w:ind w:firstLine="420"/>
              <w:rPr>
                <w:sz w:val="21"/>
              </w:rPr>
            </w:pPr>
            <w:r>
              <w:rPr>
                <w:rFonts w:hint="eastAsia"/>
                <w:sz w:val="21"/>
              </w:rPr>
              <w:t xml:space="preserve">60fps:80~100Mbps </w:t>
            </w:r>
          </w:p>
        </w:tc>
      </w:tr>
      <w:tr w14:paraId="296DDCC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522BD4E0">
            <w:pPr>
              <w:pStyle w:val="20"/>
              <w:ind w:firstLine="420"/>
              <w:rPr>
                <w:sz w:val="21"/>
              </w:rPr>
            </w:pPr>
            <w:r>
              <w:rPr>
                <w:rFonts w:hint="eastAsia"/>
                <w:sz w:val="21"/>
              </w:rPr>
              <w:t>网页浏览</w:t>
            </w:r>
          </w:p>
        </w:tc>
        <w:tc>
          <w:tcPr>
            <w:tcW w:w="2477" w:type="pct"/>
            <w:shd w:val="clear" w:color="auto" w:fill="auto"/>
            <w:vAlign w:val="center"/>
          </w:tcPr>
          <w:p w14:paraId="738D3240">
            <w:pPr>
              <w:pStyle w:val="20"/>
              <w:ind w:firstLine="420"/>
              <w:rPr>
                <w:sz w:val="21"/>
              </w:rPr>
            </w:pPr>
            <w:r>
              <w:rPr>
                <w:rFonts w:hint="eastAsia"/>
                <w:sz w:val="21"/>
              </w:rPr>
              <w:t>2</w:t>
            </w:r>
          </w:p>
        </w:tc>
      </w:tr>
      <w:tr w14:paraId="686ABA1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5FACC5A5">
            <w:pPr>
              <w:pStyle w:val="20"/>
              <w:ind w:firstLine="420"/>
              <w:rPr>
                <w:sz w:val="21"/>
              </w:rPr>
            </w:pPr>
            <w:r>
              <w:rPr>
                <w:rFonts w:hint="eastAsia"/>
                <w:sz w:val="21"/>
              </w:rPr>
              <w:t>邮件业务</w:t>
            </w:r>
          </w:p>
        </w:tc>
        <w:tc>
          <w:tcPr>
            <w:tcW w:w="2477" w:type="pct"/>
            <w:shd w:val="clear" w:color="auto" w:fill="auto"/>
            <w:vAlign w:val="center"/>
          </w:tcPr>
          <w:p w14:paraId="2059D1FF">
            <w:pPr>
              <w:pStyle w:val="20"/>
              <w:ind w:firstLine="420"/>
              <w:rPr>
                <w:sz w:val="21"/>
              </w:rPr>
            </w:pPr>
            <w:r>
              <w:rPr>
                <w:rFonts w:hint="eastAsia"/>
                <w:sz w:val="21"/>
              </w:rPr>
              <w:t>4</w:t>
            </w:r>
          </w:p>
        </w:tc>
      </w:tr>
      <w:tr w14:paraId="47ED2A7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2E796133">
            <w:pPr>
              <w:pStyle w:val="20"/>
              <w:ind w:firstLine="420"/>
              <w:rPr>
                <w:sz w:val="21"/>
              </w:rPr>
            </w:pPr>
            <w:r>
              <w:rPr>
                <w:rFonts w:hint="eastAsia"/>
                <w:sz w:val="21"/>
              </w:rPr>
              <w:t>图片上传、下载</w:t>
            </w:r>
          </w:p>
        </w:tc>
        <w:tc>
          <w:tcPr>
            <w:tcW w:w="2477" w:type="pct"/>
            <w:shd w:val="clear" w:color="auto" w:fill="auto"/>
            <w:vAlign w:val="center"/>
          </w:tcPr>
          <w:p w14:paraId="0A8DCB83">
            <w:pPr>
              <w:pStyle w:val="20"/>
              <w:ind w:firstLine="420"/>
              <w:rPr>
                <w:sz w:val="21"/>
              </w:rPr>
            </w:pPr>
            <w:r>
              <w:rPr>
                <w:rFonts w:hint="eastAsia"/>
                <w:sz w:val="21"/>
              </w:rPr>
              <w:t>4</w:t>
            </w:r>
          </w:p>
        </w:tc>
      </w:tr>
      <w:tr w14:paraId="6565215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64800D48">
            <w:pPr>
              <w:pStyle w:val="20"/>
              <w:ind w:firstLine="420"/>
              <w:rPr>
                <w:sz w:val="21"/>
              </w:rPr>
            </w:pPr>
            <w:r>
              <w:rPr>
                <w:rFonts w:hint="eastAsia"/>
                <w:sz w:val="21"/>
              </w:rPr>
              <w:t>数字音频交互</w:t>
            </w:r>
          </w:p>
        </w:tc>
        <w:tc>
          <w:tcPr>
            <w:tcW w:w="2477" w:type="pct"/>
            <w:shd w:val="clear" w:color="auto" w:fill="auto"/>
            <w:vAlign w:val="center"/>
          </w:tcPr>
          <w:p w14:paraId="4A40E8AE">
            <w:pPr>
              <w:pStyle w:val="20"/>
              <w:ind w:firstLine="420"/>
              <w:rPr>
                <w:sz w:val="21"/>
              </w:rPr>
            </w:pPr>
            <w:r>
              <w:rPr>
                <w:rFonts w:hint="eastAsia"/>
                <w:sz w:val="21"/>
              </w:rPr>
              <w:t>2</w:t>
            </w:r>
          </w:p>
        </w:tc>
      </w:tr>
      <w:tr w14:paraId="2EF5992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69BB22FE">
            <w:pPr>
              <w:pStyle w:val="20"/>
              <w:ind w:firstLine="420"/>
              <w:rPr>
                <w:sz w:val="21"/>
              </w:rPr>
            </w:pPr>
            <w:r>
              <w:rPr>
                <w:rFonts w:hint="eastAsia"/>
                <w:sz w:val="21"/>
              </w:rPr>
              <w:t>文本数据直接调用</w:t>
            </w:r>
          </w:p>
        </w:tc>
        <w:tc>
          <w:tcPr>
            <w:tcW w:w="2477" w:type="pct"/>
            <w:shd w:val="clear" w:color="auto" w:fill="auto"/>
            <w:vAlign w:val="center"/>
          </w:tcPr>
          <w:p w14:paraId="7E0C00EB">
            <w:pPr>
              <w:pStyle w:val="20"/>
              <w:ind w:firstLine="420"/>
              <w:rPr>
                <w:sz w:val="21"/>
              </w:rPr>
            </w:pPr>
            <w:r>
              <w:rPr>
                <w:rFonts w:hint="eastAsia"/>
                <w:sz w:val="21"/>
              </w:rPr>
              <w:t>2</w:t>
            </w:r>
          </w:p>
        </w:tc>
      </w:tr>
      <w:tr w14:paraId="68C2B6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079AFA8D">
            <w:pPr>
              <w:pStyle w:val="20"/>
              <w:ind w:firstLine="420"/>
              <w:rPr>
                <w:sz w:val="21"/>
              </w:rPr>
            </w:pPr>
            <w:r>
              <w:rPr>
                <w:rFonts w:hint="eastAsia"/>
                <w:sz w:val="21"/>
              </w:rPr>
              <w:t>文档资料上传、下载</w:t>
            </w:r>
          </w:p>
        </w:tc>
        <w:tc>
          <w:tcPr>
            <w:tcW w:w="2477" w:type="pct"/>
            <w:shd w:val="clear" w:color="auto" w:fill="auto"/>
            <w:vAlign w:val="center"/>
          </w:tcPr>
          <w:p w14:paraId="7636149D">
            <w:pPr>
              <w:pStyle w:val="20"/>
              <w:ind w:firstLine="420"/>
              <w:rPr>
                <w:sz w:val="21"/>
              </w:rPr>
            </w:pPr>
            <w:r>
              <w:rPr>
                <w:rFonts w:hint="eastAsia"/>
                <w:sz w:val="21"/>
              </w:rPr>
              <w:t>4</w:t>
            </w:r>
          </w:p>
        </w:tc>
      </w:tr>
      <w:tr w14:paraId="70E48D2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4851D9B7">
            <w:pPr>
              <w:pStyle w:val="20"/>
              <w:ind w:firstLine="420"/>
              <w:rPr>
                <w:sz w:val="21"/>
              </w:rPr>
            </w:pPr>
            <w:r>
              <w:rPr>
                <w:rFonts w:hint="eastAsia"/>
                <w:sz w:val="21"/>
              </w:rPr>
              <w:t>视频数据交换</w:t>
            </w:r>
          </w:p>
        </w:tc>
        <w:tc>
          <w:tcPr>
            <w:tcW w:w="2477" w:type="pct"/>
            <w:shd w:val="clear" w:color="auto" w:fill="auto"/>
            <w:vAlign w:val="center"/>
          </w:tcPr>
          <w:p w14:paraId="45AD59CB">
            <w:pPr>
              <w:pStyle w:val="20"/>
              <w:ind w:firstLine="420"/>
              <w:rPr>
                <w:sz w:val="21"/>
              </w:rPr>
            </w:pPr>
            <w:r>
              <w:rPr>
                <w:rFonts w:hint="eastAsia"/>
                <w:sz w:val="21"/>
              </w:rPr>
              <w:t>50</w:t>
            </w:r>
          </w:p>
        </w:tc>
      </w:tr>
      <w:tr w14:paraId="6B792A6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4CB2B802">
            <w:pPr>
              <w:pStyle w:val="20"/>
              <w:ind w:firstLine="420"/>
              <w:rPr>
                <w:sz w:val="21"/>
              </w:rPr>
            </w:pPr>
            <w:r>
              <w:rPr>
                <w:rFonts w:hint="eastAsia"/>
                <w:sz w:val="21"/>
              </w:rPr>
              <w:t>视频会议</w:t>
            </w:r>
          </w:p>
        </w:tc>
        <w:tc>
          <w:tcPr>
            <w:tcW w:w="2477" w:type="pct"/>
            <w:shd w:val="clear" w:color="auto" w:fill="auto"/>
            <w:vAlign w:val="center"/>
          </w:tcPr>
          <w:p w14:paraId="341F4B12">
            <w:pPr>
              <w:pStyle w:val="20"/>
              <w:ind w:firstLine="420"/>
              <w:rPr>
                <w:sz w:val="21"/>
              </w:rPr>
            </w:pPr>
            <w:r>
              <w:rPr>
                <w:rFonts w:hint="eastAsia"/>
                <w:sz w:val="21"/>
              </w:rPr>
              <w:t>8</w:t>
            </w:r>
          </w:p>
        </w:tc>
      </w:tr>
      <w:tr w14:paraId="0FFE013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754A5B72">
            <w:pPr>
              <w:pStyle w:val="20"/>
              <w:ind w:firstLine="420"/>
              <w:rPr>
                <w:sz w:val="21"/>
              </w:rPr>
            </w:pPr>
            <w:r>
              <w:rPr>
                <w:rFonts w:hint="eastAsia"/>
                <w:sz w:val="21"/>
              </w:rPr>
              <w:t>网上学习</w:t>
            </w:r>
          </w:p>
        </w:tc>
        <w:tc>
          <w:tcPr>
            <w:tcW w:w="2477" w:type="pct"/>
            <w:shd w:val="clear" w:color="auto" w:fill="auto"/>
            <w:vAlign w:val="center"/>
          </w:tcPr>
          <w:p w14:paraId="5C6E5B21">
            <w:pPr>
              <w:pStyle w:val="20"/>
              <w:ind w:firstLine="420"/>
              <w:rPr>
                <w:sz w:val="21"/>
              </w:rPr>
            </w:pPr>
            <w:r>
              <w:rPr>
                <w:rFonts w:hint="eastAsia"/>
                <w:sz w:val="21"/>
              </w:rPr>
              <w:t>4</w:t>
            </w:r>
          </w:p>
        </w:tc>
      </w:tr>
      <w:tr w14:paraId="4BC97C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6954FE76">
            <w:pPr>
              <w:pStyle w:val="20"/>
              <w:ind w:firstLine="420"/>
              <w:rPr>
                <w:sz w:val="21"/>
              </w:rPr>
            </w:pPr>
            <w:r>
              <w:rPr>
                <w:rFonts w:hint="eastAsia"/>
                <w:sz w:val="21"/>
              </w:rPr>
              <w:t>教学终端</w:t>
            </w:r>
          </w:p>
        </w:tc>
        <w:tc>
          <w:tcPr>
            <w:tcW w:w="2477" w:type="pct"/>
            <w:shd w:val="clear" w:color="auto" w:fill="auto"/>
            <w:vAlign w:val="center"/>
          </w:tcPr>
          <w:p w14:paraId="3D2FD31B">
            <w:pPr>
              <w:pStyle w:val="20"/>
              <w:ind w:firstLine="420"/>
              <w:rPr>
                <w:sz w:val="21"/>
              </w:rPr>
            </w:pPr>
            <w:r>
              <w:rPr>
                <w:rFonts w:hint="eastAsia"/>
                <w:sz w:val="21"/>
              </w:rPr>
              <w:t>4</w:t>
            </w:r>
          </w:p>
        </w:tc>
      </w:tr>
      <w:tr w14:paraId="5E3AA54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3A4174A8">
            <w:pPr>
              <w:pStyle w:val="20"/>
              <w:ind w:firstLine="420"/>
              <w:rPr>
                <w:sz w:val="21"/>
              </w:rPr>
            </w:pPr>
            <w:r>
              <w:rPr>
                <w:rFonts w:hint="eastAsia"/>
                <w:sz w:val="21"/>
              </w:rPr>
              <w:t>高性能计算</w:t>
            </w:r>
          </w:p>
        </w:tc>
        <w:tc>
          <w:tcPr>
            <w:tcW w:w="2477" w:type="pct"/>
            <w:shd w:val="clear" w:color="auto" w:fill="auto"/>
            <w:vAlign w:val="center"/>
          </w:tcPr>
          <w:p w14:paraId="4F6729B7">
            <w:pPr>
              <w:pStyle w:val="20"/>
              <w:ind w:firstLine="420"/>
              <w:rPr>
                <w:sz w:val="21"/>
              </w:rPr>
            </w:pPr>
            <w:r>
              <w:rPr>
                <w:rFonts w:hint="eastAsia"/>
                <w:sz w:val="21"/>
              </w:rPr>
              <w:t>4</w:t>
            </w:r>
          </w:p>
        </w:tc>
      </w:tr>
      <w:tr w14:paraId="67527B5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jc w:val="center"/>
        </w:trPr>
        <w:tc>
          <w:tcPr>
            <w:tcW w:w="2523" w:type="pct"/>
            <w:shd w:val="clear" w:color="auto" w:fill="auto"/>
            <w:vAlign w:val="center"/>
          </w:tcPr>
          <w:p w14:paraId="238630D6">
            <w:pPr>
              <w:pStyle w:val="20"/>
              <w:ind w:firstLine="420"/>
              <w:rPr>
                <w:spacing w:val="-3"/>
                <w:sz w:val="21"/>
              </w:rPr>
            </w:pPr>
            <w:r>
              <w:rPr>
                <w:rFonts w:hint="eastAsia"/>
                <w:sz w:val="21"/>
              </w:rPr>
              <w:t>其他</w:t>
            </w:r>
          </w:p>
        </w:tc>
        <w:tc>
          <w:tcPr>
            <w:tcW w:w="2477" w:type="pct"/>
            <w:shd w:val="clear" w:color="auto" w:fill="auto"/>
            <w:vAlign w:val="center"/>
          </w:tcPr>
          <w:p w14:paraId="1C5A89C7">
            <w:pPr>
              <w:pStyle w:val="20"/>
              <w:ind w:firstLine="420"/>
              <w:rPr>
                <w:sz w:val="21"/>
              </w:rPr>
            </w:pPr>
            <w:r>
              <w:rPr>
                <w:rFonts w:hint="eastAsia"/>
                <w:sz w:val="21"/>
              </w:rPr>
              <w:t>1-</w:t>
            </w:r>
            <w:r>
              <w:rPr>
                <w:rFonts w:hint="eastAsia"/>
                <w:spacing w:val="-10"/>
                <w:sz w:val="21"/>
              </w:rPr>
              <w:t>8</w:t>
            </w:r>
          </w:p>
        </w:tc>
      </w:tr>
    </w:tbl>
    <w:p w14:paraId="1111DEC7">
      <w:pPr>
        <w:pStyle w:val="19"/>
        <w:ind w:firstLine="480"/>
      </w:pPr>
      <w:r>
        <w:rPr>
          <w:rFonts w:hint="eastAsia"/>
        </w:rPr>
        <w:t>由上表中的各类业务带宽占用可知，其中视频类业务带宽占用最大，约为 50Mb/s。因此为了考虑到未来5到10年的业务发展需求，拟用</w:t>
      </w:r>
      <w:r>
        <w:t>24</w:t>
      </w:r>
      <w:r>
        <w:rPr>
          <w:rFonts w:hint="eastAsia"/>
        </w:rPr>
        <w:t>0000终端并发50Mb/s的业务流量换算计算机网络系统最大的容量需求。核心交换机应当满足</w:t>
      </w:r>
      <w:r>
        <w:t>24</w:t>
      </w:r>
      <w:r>
        <w:rPr>
          <w:rFonts w:hint="eastAsia"/>
        </w:rPr>
        <w:t>0000终端并发50Mb/s的业务流量线速转发同时预留未来 80%网络扩容升级能力；核心交换机CPU长期运行在10%左右，包转发速率应控制在50%左右保证其稳定性。</w:t>
      </w:r>
    </w:p>
    <w:p w14:paraId="034EF7EB">
      <w:pPr>
        <w:pStyle w:val="19"/>
        <w:ind w:firstLine="480"/>
      </w:pPr>
      <w:r>
        <w:rPr>
          <w:rFonts w:hint="eastAsia"/>
        </w:rPr>
        <w:t>交换容量：</w:t>
      </w:r>
      <w:r>
        <w:t>24</w:t>
      </w:r>
      <w:r>
        <w:rPr>
          <w:rFonts w:hint="eastAsia"/>
        </w:rPr>
        <w:t>0000*50Mb/s*2（网络全双工）/0.2/0.1≈1</w:t>
      </w:r>
      <w:r>
        <w:t>2</w:t>
      </w:r>
      <w:r>
        <w:rPr>
          <w:rFonts w:hint="eastAsia"/>
        </w:rPr>
        <w:t>00T</w:t>
      </w:r>
    </w:p>
    <w:p w14:paraId="48851F17">
      <w:pPr>
        <w:pStyle w:val="19"/>
        <w:ind w:firstLine="480"/>
      </w:pPr>
      <w:r>
        <w:rPr>
          <w:rFonts w:hint="eastAsia"/>
        </w:rPr>
        <w:t>包转发速率：</w:t>
      </w:r>
      <w:r>
        <w:t>24</w:t>
      </w:r>
      <w:r>
        <w:rPr>
          <w:rFonts w:hint="eastAsia"/>
        </w:rPr>
        <w:t>0000*0.1488M（每个用户 100Mb/s 业务流量下的包转换算）/0.2/0.5≈</w:t>
      </w:r>
      <w:r>
        <w:t>36</w:t>
      </w:r>
      <w:r>
        <w:rPr>
          <w:rFonts w:hint="eastAsia"/>
        </w:rPr>
        <w:t>0000Mpps。</w:t>
      </w:r>
    </w:p>
    <w:p w14:paraId="311EC5D5">
      <w:pPr>
        <w:pStyle w:val="19"/>
        <w:ind w:firstLine="480"/>
      </w:pPr>
      <w:r>
        <w:rPr>
          <w:rFonts w:hint="eastAsia"/>
        </w:rPr>
        <w:t>核心交换区应当部署高性能核心交换机。为保证接入终端上网的高速体验，和未来更多的校园网应用承载扩容，其交换容量应不低于 1</w:t>
      </w:r>
      <w:r>
        <w:t>2</w:t>
      </w:r>
      <w:r>
        <w:rPr>
          <w:rFonts w:hint="eastAsia"/>
        </w:rPr>
        <w:t>00Tbps，包转发率应不低于</w:t>
      </w:r>
      <w:r>
        <w:t>36</w:t>
      </w:r>
      <w:r>
        <w:rPr>
          <w:rFonts w:hint="eastAsia"/>
        </w:rPr>
        <w:t>0000Mpps。</w:t>
      </w:r>
    </w:p>
    <w:p w14:paraId="4FCD6F45">
      <w:pPr>
        <w:pStyle w:val="3"/>
        <w:keepNext w:val="0"/>
        <w:keepLines w:val="0"/>
        <w:spacing w:line="240" w:lineRule="auto"/>
        <w:ind w:left="900" w:hanging="900"/>
        <w:rPr>
          <w:rFonts w:ascii="宋体" w:hAnsi="宋体" w:eastAsia="宋体" w:cs="宋体"/>
          <w:kern w:val="44"/>
          <w:sz w:val="24"/>
          <w:szCs w:val="24"/>
        </w:rPr>
      </w:pPr>
      <w:bookmarkStart w:id="76" w:name="2.4_出口安全防护设计"/>
      <w:bookmarkEnd w:id="76"/>
      <w:bookmarkStart w:id="77" w:name="_bookmark31"/>
      <w:bookmarkEnd w:id="77"/>
      <w:bookmarkStart w:id="78" w:name="_Toc31670"/>
      <w:bookmarkStart w:id="79" w:name="_Toc25283"/>
      <w:bookmarkStart w:id="80" w:name="_Toc1031"/>
      <w:bookmarkStart w:id="81" w:name="_Toc881"/>
      <w:bookmarkStart w:id="82" w:name="_Toc24641"/>
      <w:r>
        <w:rPr>
          <w:rFonts w:hint="eastAsia" w:ascii="宋体" w:hAnsi="宋体" w:eastAsia="宋体" w:cs="宋体"/>
          <w:kern w:val="44"/>
          <w:sz w:val="24"/>
          <w:szCs w:val="24"/>
        </w:rPr>
        <w:t>2.8.3出口安全防护</w:t>
      </w:r>
      <w:bookmarkEnd w:id="78"/>
      <w:bookmarkEnd w:id="79"/>
      <w:bookmarkEnd w:id="80"/>
      <w:bookmarkEnd w:id="81"/>
      <w:bookmarkEnd w:id="82"/>
    </w:p>
    <w:p w14:paraId="274F6C35">
      <w:pPr>
        <w:pStyle w:val="21"/>
        <w:widowControl w:val="0"/>
        <w:numPr>
          <w:ilvl w:val="0"/>
          <w:numId w:val="2"/>
        </w:numPr>
      </w:pPr>
      <w:bookmarkStart w:id="83" w:name="_bookmark32"/>
      <w:bookmarkEnd w:id="83"/>
      <w:bookmarkStart w:id="84" w:name="2.4.1_高性能防火墙设计"/>
      <w:bookmarkEnd w:id="84"/>
      <w:bookmarkStart w:id="85" w:name="_Toc172"/>
      <w:r>
        <w:rPr>
          <w:rFonts w:hint="eastAsia"/>
        </w:rPr>
        <w:t>高性能防火墙</w:t>
      </w:r>
      <w:bookmarkEnd w:id="85"/>
    </w:p>
    <w:p w14:paraId="74A6B1B3">
      <w:pPr>
        <w:pStyle w:val="19"/>
        <w:ind w:firstLine="480"/>
      </w:pPr>
      <w:r>
        <w:rPr>
          <w:rFonts w:hint="eastAsia"/>
        </w:rPr>
        <w:t>本次项目的防火墙为校园网整体出口的综合防护用途，侧重性能及稳定性，避免形成任何性能瓶颈、稳定性瓶颈、接口瓶颈。具体选型应当参照上述应用需求描述，在满足当前使用的情况下，预留一定的性能冗余、接口冗余，以确保稳定性和扩展性。</w:t>
      </w:r>
    </w:p>
    <w:p w14:paraId="32516EFF">
      <w:pPr>
        <w:pStyle w:val="19"/>
        <w:ind w:firstLine="480"/>
      </w:pPr>
      <w:r>
        <w:rPr>
          <w:rFonts w:hint="eastAsia"/>
        </w:rPr>
        <w:t>本次采购的安全设备必须实现对全校所有出口链路的I</w:t>
      </w:r>
      <w:r>
        <w:t>p</w:t>
      </w:r>
      <w:r>
        <w:rPr>
          <w:rFonts w:hint="eastAsia"/>
        </w:rPr>
        <w:t>v6安全管理。</w:t>
      </w:r>
    </w:p>
    <w:p w14:paraId="4382A179">
      <w:pPr>
        <w:pStyle w:val="19"/>
        <w:ind w:firstLine="480"/>
        <w:rPr>
          <w:rFonts w:cs="仿宋"/>
          <w:sz w:val="32"/>
          <w:szCs w:val="32"/>
        </w:rPr>
      </w:pPr>
      <w:r>
        <w:rPr>
          <w:rFonts w:hint="eastAsia"/>
        </w:rPr>
        <w:t>考虑到校园网出口大流量、高转发、高稳定性的特殊要求，本次防火墙设备应选择框式架构的高性能产品。在保证性能及稳定性的基础上，应符合网络安全等级保护各项要求，具备以下基本安全防护功能，包括：支持SYN、UDP、ICMP等洪水型DoS/DDoS攻击防护；支持ARP攻击防御功能；支持对HTTP、TCP、UDP、DNS、TLS 等常用协议及应用的攻击检测和防御；支持对欺骗攻击、注入攻击、中间人攻击、跨站请求伪造、跨站脚本攻击、代码执行、释放重利用等多种类别的威胁进行检测和防御；基于海量病毒库与安全威胁特征库，对出口不安全流量进行高效、准确拦截和阻断；支持针对DDos攻击的高效防御能力等。</w:t>
      </w:r>
    </w:p>
    <w:p w14:paraId="63284C56">
      <w:pPr>
        <w:pStyle w:val="21"/>
        <w:widowControl w:val="0"/>
        <w:numPr>
          <w:ilvl w:val="0"/>
          <w:numId w:val="2"/>
        </w:numPr>
      </w:pPr>
      <w:bookmarkStart w:id="86" w:name="_Toc19400"/>
      <w:r>
        <w:rPr>
          <w:rFonts w:hint="eastAsia"/>
        </w:rPr>
        <w:t>安全资源池</w:t>
      </w:r>
      <w:bookmarkEnd w:id="86"/>
    </w:p>
    <w:p w14:paraId="1BF65877">
      <w:pPr>
        <w:pStyle w:val="19"/>
        <w:ind w:firstLine="480"/>
      </w:pPr>
      <w:r>
        <w:rPr>
          <w:rFonts w:hint="eastAsia"/>
        </w:rPr>
        <w:t>构建安全资源池，SDN 控制引流设计如下图所示。</w:t>
      </w:r>
    </w:p>
    <w:p w14:paraId="2966EB8F">
      <w:pPr>
        <w:pStyle w:val="19"/>
        <w:ind w:firstLine="480"/>
      </w:pPr>
      <w:r>
        <w:rPr>
          <w:rFonts w:hint="eastAsia"/>
        </w:rPr>
        <w:t>通过 SDN 控制器在核心交换机上下发对应的引流策略，基于数据包的五元组进行业务流量的筛选。选定业务流量后，执行对应的引流策略。</w:t>
      </w:r>
    </w:p>
    <w:p w14:paraId="5A731038">
      <w:pPr>
        <w:pStyle w:val="19"/>
        <w:ind w:firstLine="480"/>
      </w:pPr>
      <w:r>
        <w:rPr>
          <w:rFonts w:hint="eastAsia"/>
        </w:rPr>
        <w:t>选定某条外网业务后，首先将该条流量引入安全设备 B，再引回到核心设备。再次引入到安全设备 A，再引回核心设备，由出口访问外网流量。其回向流量重复类似引流过程。这里可以结合实际的网络访问帮助理解，以普通的网络用户访问互联网流量为例，该用户的访问流量被匹配到后，首先被引流到上网行为管理设备，流量被引回核心设备后，再次引流到防火墙设备，有防火墙设备被引回核心后，访问出口网关，完成一次互联网出方向的流量访问。在该次访问中，网络用户的流量依次通过了上网行为管理、防火墙两台安全设备，保障了数据访问的安全性。</w:t>
      </w:r>
    </w:p>
    <w:p w14:paraId="125417ED">
      <w:pPr>
        <w:pStyle w:val="19"/>
        <w:ind w:firstLine="480"/>
      </w:pPr>
      <w:r>
        <w:rPr>
          <w:rFonts w:hint="eastAsia"/>
        </w:rPr>
        <w:t>当在资源池中的安全设备出现故障时，为解决单点故障问题。应当可以通过SDN控制器提供bypass功能。建设方案如下：</w:t>
      </w:r>
    </w:p>
    <w:p w14:paraId="0D12FF7E">
      <w:pPr>
        <w:pStyle w:val="19"/>
        <w:ind w:firstLine="640"/>
        <w:rPr>
          <w:rFonts w:cs="仿宋"/>
          <w:sz w:val="32"/>
          <w:szCs w:val="32"/>
        </w:rPr>
      </w:pPr>
      <w:r>
        <w:rPr>
          <w:rFonts w:hint="eastAsia"/>
        </w:rPr>
        <w:drawing>
          <wp:anchor distT="0" distB="0" distL="114300" distR="114300" simplePos="0" relativeHeight="251664384" behindDoc="0" locked="0" layoutInCell="1" allowOverlap="0">
            <wp:simplePos x="0" y="0"/>
            <wp:positionH relativeFrom="column">
              <wp:posOffset>-33655</wp:posOffset>
            </wp:positionH>
            <wp:positionV relativeFrom="paragraph">
              <wp:posOffset>1029970</wp:posOffset>
            </wp:positionV>
            <wp:extent cx="2404745" cy="2051685"/>
            <wp:effectExtent l="0" t="0" r="14605" b="571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4745" cy="2051685"/>
                    </a:xfrm>
                    <a:prstGeom prst="rect">
                      <a:avLst/>
                    </a:prstGeom>
                    <a:noFill/>
                    <a:ln>
                      <a:noFill/>
                    </a:ln>
                    <a:effectLst/>
                  </pic:spPr>
                </pic:pic>
              </a:graphicData>
            </a:graphic>
          </wp:anchor>
        </w:drawing>
      </w:r>
      <w:r>
        <w:rPr>
          <w:rFonts w:hint="eastAsia"/>
        </w:rPr>
        <w:t>将原有的安全设备以旁挂引流交换机的方式部署，开启bypass功能，针对外网用户的访问流量，其引流路径为：引流交换机—&gt;安全设备 B—&gt;引流交换机—&gt;安全设备 A—&gt;引流交换机—&gt;出口网关。</w:t>
      </w:r>
    </w:p>
    <w:p w14:paraId="7CA1480D">
      <w:pPr>
        <w:pStyle w:val="6"/>
        <w:jc w:val="center"/>
        <w:rPr>
          <w:rFonts w:ascii="仿宋" w:hAnsi="仿宋" w:eastAsia="仿宋"/>
        </w:rPr>
      </w:pPr>
      <w:r>
        <w:rPr>
          <w:rFonts w:hint="eastAsia" w:ascii="仿宋" w:hAnsi="仿宋" w:eastAsia="仿宋"/>
        </w:rPr>
        <w:t xml:space="preserve">            </w:t>
      </w:r>
    </w:p>
    <w:p w14:paraId="2079E13C">
      <w:pPr>
        <w:pStyle w:val="7"/>
      </w:pPr>
      <w:r>
        <w:rPr>
          <w:rFonts w:hint="eastAsia"/>
          <w:sz w:val="32"/>
          <w:szCs w:val="32"/>
        </w:rPr>
        <w:drawing>
          <wp:anchor distT="0" distB="0" distL="114300" distR="114300" simplePos="0" relativeHeight="251663360" behindDoc="0" locked="0" layoutInCell="1" allowOverlap="1">
            <wp:simplePos x="0" y="0"/>
            <wp:positionH relativeFrom="margin">
              <wp:posOffset>2667635</wp:posOffset>
            </wp:positionH>
            <wp:positionV relativeFrom="paragraph">
              <wp:posOffset>58420</wp:posOffset>
            </wp:positionV>
            <wp:extent cx="2412365" cy="2053590"/>
            <wp:effectExtent l="0" t="0" r="6985" b="38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12365" cy="2053590"/>
                    </a:xfrm>
                    <a:prstGeom prst="rect">
                      <a:avLst/>
                    </a:prstGeom>
                    <a:noFill/>
                    <a:ln>
                      <a:noFill/>
                    </a:ln>
                    <a:effectLst/>
                  </pic:spPr>
                </pic:pic>
              </a:graphicData>
            </a:graphic>
          </wp:anchor>
        </w:drawing>
      </w:r>
    </w:p>
    <w:p w14:paraId="7FDC9421">
      <w:pPr>
        <w:pStyle w:val="19"/>
        <w:ind w:firstLine="480"/>
        <w:rPr>
          <w:rFonts w:eastAsia="仿宋"/>
        </w:rPr>
      </w:pPr>
      <w:r>
        <w:rPr>
          <w:rFonts w:hint="eastAsia" w:ascii="仿宋" w:hAnsi="仿宋" w:eastAsia="仿宋"/>
        </w:rPr>
        <w:t>图  2</w:t>
      </w:r>
      <w:r>
        <w:rPr>
          <w:rFonts w:ascii="仿宋" w:hAnsi="仿宋" w:eastAsia="仿宋"/>
        </w:rPr>
        <w:t>-</w:t>
      </w:r>
      <w:r>
        <w:rPr>
          <w:rFonts w:hint="eastAsia" w:ascii="仿宋" w:hAnsi="仿宋" w:eastAsia="仿宋"/>
        </w:rPr>
        <w:t>9 SDN 引流示意图                     图  2</w:t>
      </w:r>
      <w:r>
        <w:rPr>
          <w:rFonts w:ascii="仿宋" w:hAnsi="仿宋" w:eastAsia="仿宋"/>
        </w:rPr>
        <w:t>-</w:t>
      </w:r>
      <w:r>
        <w:rPr>
          <w:rFonts w:hint="eastAsia" w:ascii="仿宋" w:hAnsi="仿宋" w:eastAsia="仿宋"/>
        </w:rPr>
        <w:t>10 Bypass引流示意图</w:t>
      </w:r>
    </w:p>
    <w:p w14:paraId="46652E0D">
      <w:pPr>
        <w:pStyle w:val="19"/>
        <w:ind w:firstLine="480"/>
      </w:pPr>
    </w:p>
    <w:p w14:paraId="6FBB6576">
      <w:pPr>
        <w:pStyle w:val="19"/>
        <w:ind w:firstLine="480"/>
        <w:rPr>
          <w:rFonts w:cs="仿宋"/>
          <w:sz w:val="32"/>
          <w:szCs w:val="32"/>
        </w:rPr>
      </w:pPr>
      <w:r>
        <w:rPr>
          <w:rFonts w:hint="eastAsia"/>
        </w:rPr>
        <w:t>当其中的安全设备A出现故障时，开启bypass链路，引流策略变为：引流交换机—&gt;安全设备B—&gt;引流交换机—&gt;出口网关，解决因安全设备A故障出现的单点故障问题。但由于安全设备A无冗余设备，所以通过引流策略可以解决单点故障的问题，但是外网的访问流量将不再通过安全设备A的管控。</w:t>
      </w:r>
    </w:p>
    <w:p w14:paraId="5B1ADE1C">
      <w:pPr>
        <w:pStyle w:val="3"/>
        <w:keepNext w:val="0"/>
        <w:keepLines w:val="0"/>
        <w:spacing w:line="240" w:lineRule="auto"/>
        <w:ind w:left="900" w:hanging="900"/>
        <w:rPr>
          <w:rFonts w:ascii="宋体" w:hAnsi="宋体" w:eastAsia="宋体" w:cs="宋体"/>
          <w:kern w:val="44"/>
          <w:sz w:val="24"/>
          <w:szCs w:val="24"/>
        </w:rPr>
      </w:pPr>
      <w:bookmarkStart w:id="87" w:name="_bookmark34"/>
      <w:bookmarkEnd w:id="87"/>
      <w:bookmarkStart w:id="88" w:name="2.5_汇聚&amp;接入层网络设计"/>
      <w:bookmarkEnd w:id="88"/>
      <w:bookmarkStart w:id="89" w:name="2.6_认证计费系统设计"/>
      <w:bookmarkEnd w:id="89"/>
      <w:bookmarkStart w:id="90" w:name="_bookmark37"/>
      <w:bookmarkEnd w:id="90"/>
      <w:bookmarkStart w:id="91" w:name="_Toc11430"/>
      <w:bookmarkStart w:id="92" w:name="_Toc17225"/>
      <w:bookmarkStart w:id="93" w:name="_Toc6901"/>
      <w:bookmarkStart w:id="94" w:name="_Toc22451"/>
      <w:bookmarkStart w:id="95" w:name="_Toc25618"/>
      <w:r>
        <w:rPr>
          <w:rFonts w:hint="eastAsia" w:ascii="宋体" w:hAnsi="宋体" w:eastAsia="宋体" w:cs="宋体"/>
          <w:kern w:val="44"/>
          <w:sz w:val="24"/>
          <w:szCs w:val="24"/>
        </w:rPr>
        <w:t>2.8.4认证计费系统</w:t>
      </w:r>
      <w:bookmarkEnd w:id="91"/>
      <w:bookmarkEnd w:id="92"/>
      <w:bookmarkEnd w:id="93"/>
      <w:bookmarkEnd w:id="94"/>
      <w:bookmarkEnd w:id="95"/>
    </w:p>
    <w:p w14:paraId="06833DE8">
      <w:pPr>
        <w:pStyle w:val="21"/>
        <w:widowControl w:val="0"/>
        <w:numPr>
          <w:ilvl w:val="0"/>
          <w:numId w:val="1"/>
        </w:numPr>
      </w:pPr>
      <w:bookmarkStart w:id="96" w:name="2.6.1_网络认证方案设计"/>
      <w:bookmarkEnd w:id="96"/>
      <w:bookmarkStart w:id="97" w:name="_bookmark38"/>
      <w:bookmarkEnd w:id="97"/>
      <w:bookmarkStart w:id="98" w:name="_Toc30843"/>
      <w:r>
        <w:rPr>
          <w:rFonts w:hint="eastAsia"/>
        </w:rPr>
        <w:t>网络认证方案</w:t>
      </w:r>
      <w:bookmarkEnd w:id="98"/>
    </w:p>
    <w:p w14:paraId="69E9DFD0">
      <w:pPr>
        <w:pStyle w:val="19"/>
        <w:ind w:firstLine="480"/>
      </w:pPr>
      <w:r>
        <w:rPr>
          <w:rFonts w:hint="eastAsia"/>
        </w:rPr>
        <w:t>校园网合肥校区与宣城校区分别部署一套双机认证系统，设备互为冗余，全校使用统一的用户数据库；接口要满足日后10年内的扩容需求；应当支持IPv6 双栈和纯单栈模式的认证。要求将认证系统与统一身份认证系统进行对接，实现各种校园网应用“一号通”。</w:t>
      </w:r>
    </w:p>
    <w:p w14:paraId="6758C260">
      <w:pPr>
        <w:pStyle w:val="19"/>
        <w:ind w:firstLine="480"/>
      </w:pPr>
      <w:r>
        <w:rPr>
          <w:rFonts w:hint="eastAsia"/>
        </w:rPr>
        <w:t>认证系统应当支持WEB和802.1X等多种认证管理方式。</w:t>
      </w:r>
    </w:p>
    <w:p w14:paraId="30EBFF88">
      <w:pPr>
        <w:pStyle w:val="19"/>
        <w:ind w:firstLine="480"/>
      </w:pPr>
      <w:r>
        <w:rPr>
          <w:rFonts w:hint="eastAsia"/>
        </w:rPr>
        <w:t>统一账户管理：</w:t>
      </w:r>
    </w:p>
    <w:p w14:paraId="4519D41C">
      <w:pPr>
        <w:pStyle w:val="19"/>
        <w:ind w:firstLine="480"/>
      </w:pPr>
      <w:r>
        <w:rPr>
          <w:rFonts w:hint="eastAsia"/>
        </w:rPr>
        <w:t>有线、无线应当统一采用认证计费管理数据库，采用一套身份认证、计费系统的安全计费管理系统，师生用户采用统一身份信息，一套账号，灵活登录有线、无线两个网络。</w:t>
      </w:r>
    </w:p>
    <w:p w14:paraId="47E50E7C">
      <w:pPr>
        <w:pStyle w:val="19"/>
        <w:ind w:firstLine="480"/>
      </w:pPr>
      <w:r>
        <w:rPr>
          <w:rFonts w:hint="eastAsia"/>
        </w:rPr>
        <w:t>统一认证方式：</w:t>
      </w:r>
    </w:p>
    <w:p w14:paraId="7EBF64EF">
      <w:pPr>
        <w:pStyle w:val="19"/>
        <w:ind w:firstLine="480"/>
        <w:rPr>
          <w:rFonts w:cs="仿宋"/>
          <w:sz w:val="32"/>
          <w:szCs w:val="32"/>
        </w:rPr>
      </w:pPr>
      <w:r>
        <w:rPr>
          <w:rFonts w:hint="eastAsia"/>
        </w:rPr>
        <w:t>有线、无线网络应当支持采用不同的认证方式，均可使用802.1x、Web，兼容不同类型操作系统的终端，提供多种方便的接入方式。</w:t>
      </w:r>
    </w:p>
    <w:p w14:paraId="79C01DC9">
      <w:pPr>
        <w:pStyle w:val="21"/>
        <w:widowControl w:val="0"/>
        <w:numPr>
          <w:ilvl w:val="0"/>
          <w:numId w:val="1"/>
        </w:numPr>
      </w:pPr>
      <w:bookmarkStart w:id="99" w:name="_bookmark39"/>
      <w:bookmarkEnd w:id="99"/>
      <w:bookmarkStart w:id="100" w:name="2.6.2_网络计费方案设计"/>
      <w:bookmarkEnd w:id="100"/>
      <w:bookmarkStart w:id="101" w:name="_Toc21303"/>
      <w:r>
        <w:rPr>
          <w:rFonts w:hint="eastAsia"/>
        </w:rPr>
        <w:t>网络计费方案</w:t>
      </w:r>
      <w:bookmarkEnd w:id="101"/>
    </w:p>
    <w:p w14:paraId="3240BD25">
      <w:pPr>
        <w:pStyle w:val="19"/>
        <w:ind w:firstLine="480"/>
      </w:pPr>
      <w:r>
        <w:rPr>
          <w:rFonts w:hint="eastAsia"/>
        </w:rPr>
        <w:t>认证统一融合和身份管理</w:t>
      </w:r>
    </w:p>
    <w:p w14:paraId="10B107F1">
      <w:pPr>
        <w:pStyle w:val="19"/>
        <w:ind w:firstLine="480"/>
      </w:pPr>
      <w:r>
        <w:rPr>
          <w:rFonts w:hint="eastAsia"/>
        </w:rPr>
        <w:t>应当支持丰富的用户组设置，支持用户在组间自由切换。</w:t>
      </w:r>
    </w:p>
    <w:p w14:paraId="21C064E7">
      <w:pPr>
        <w:pStyle w:val="19"/>
        <w:ind w:firstLine="480"/>
      </w:pPr>
      <w:r>
        <w:rPr>
          <w:rFonts w:hint="eastAsia"/>
        </w:rPr>
        <w:t>认证系统要支持多种个性化的服务，支持分区域管理、多模式计时、讲周期、计流量、包月、豁免、阶梯计费以及各种方式组合的自定义模式等丰富的个性化需求。</w:t>
      </w:r>
    </w:p>
    <w:p w14:paraId="0C475154">
      <w:pPr>
        <w:pStyle w:val="19"/>
        <w:ind w:firstLine="480"/>
      </w:pPr>
      <w:r>
        <w:rPr>
          <w:rFonts w:hint="eastAsia"/>
        </w:rPr>
        <w:t>应当支持多种接入模式，包括：802.1x、无线、VPN、WebPortal等。</w:t>
      </w:r>
    </w:p>
    <w:p w14:paraId="6D00E818">
      <w:pPr>
        <w:pStyle w:val="19"/>
        <w:ind w:firstLine="480"/>
      </w:pPr>
      <w:r>
        <w:rPr>
          <w:rFonts w:hint="eastAsia"/>
        </w:rPr>
        <w:t>应当支持用户组、区域、接入方式和计费模式按照要求进行组合。</w:t>
      </w:r>
    </w:p>
    <w:p w14:paraId="7F689B37">
      <w:pPr>
        <w:pStyle w:val="19"/>
        <w:ind w:firstLine="480"/>
      </w:pPr>
      <w:r>
        <w:rPr>
          <w:rFonts w:hint="eastAsia"/>
        </w:rPr>
        <w:t>分区接入服务和多种计费组合设计。</w:t>
      </w:r>
    </w:p>
    <w:p w14:paraId="0A6AD866">
      <w:pPr>
        <w:pStyle w:val="19"/>
        <w:ind w:firstLine="480"/>
        <w:rPr>
          <w:rFonts w:cs="仿宋"/>
          <w:sz w:val="32"/>
          <w:szCs w:val="32"/>
        </w:rPr>
      </w:pPr>
      <w:r>
        <w:rPr>
          <w:rFonts w:hint="eastAsia"/>
        </w:rPr>
        <w:t>根据学校的办学理念和管理需要，应当可以按照多个维度：用户组、区域、计费模式、接入方式进行自由组合，即某个用户组、某类区域可以与某种接入方式、某种计费模式结合，按需组成多种不同的认证计费管理模型并可同时在线运行。</w:t>
      </w:r>
    </w:p>
    <w:p w14:paraId="25A1F0A7">
      <w:pPr>
        <w:pStyle w:val="21"/>
        <w:widowControl w:val="0"/>
        <w:numPr>
          <w:ilvl w:val="0"/>
          <w:numId w:val="1"/>
        </w:numPr>
      </w:pPr>
      <w:bookmarkStart w:id="102" w:name="_Toc11197"/>
      <w:r>
        <w:rPr>
          <w:rFonts w:hint="eastAsia"/>
        </w:rPr>
        <w:t>功能联动</w:t>
      </w:r>
      <w:bookmarkEnd w:id="102"/>
    </w:p>
    <w:p w14:paraId="29064390">
      <w:pPr>
        <w:pStyle w:val="19"/>
        <w:ind w:firstLine="480"/>
      </w:pPr>
      <w:r>
        <w:rPr>
          <w:rFonts w:hint="eastAsia"/>
        </w:rPr>
        <w:t>认证系统应当提供与其他网络设备进行联动的支持能力，比如与DNS联动，实现自动选路；与出口路由器联动，完成网络管理功能等。</w:t>
      </w:r>
    </w:p>
    <w:p w14:paraId="3A037D2C">
      <w:pPr>
        <w:pStyle w:val="19"/>
        <w:ind w:firstLine="480"/>
        <w:rPr>
          <w:rFonts w:cs="仿宋"/>
          <w:sz w:val="32"/>
          <w:szCs w:val="32"/>
        </w:rPr>
      </w:pPr>
      <w:r>
        <w:rPr>
          <w:rFonts w:hint="eastAsia"/>
        </w:rPr>
        <w:t>认证计费设备厂商应当有与其他第三方设备联动对接的技术支持能力，并能够按用户需要终身免费提供联动对接服务。</w:t>
      </w:r>
    </w:p>
    <w:p w14:paraId="6257AE9A">
      <w:pPr>
        <w:pStyle w:val="3"/>
        <w:keepNext w:val="0"/>
        <w:keepLines w:val="0"/>
        <w:spacing w:line="240" w:lineRule="auto"/>
        <w:ind w:left="900" w:hanging="900"/>
        <w:rPr>
          <w:rFonts w:ascii="宋体" w:hAnsi="宋体" w:eastAsia="宋体" w:cs="宋体"/>
          <w:kern w:val="44"/>
          <w:sz w:val="24"/>
          <w:szCs w:val="24"/>
        </w:rPr>
      </w:pPr>
      <w:bookmarkStart w:id="103" w:name="_bookmark40"/>
      <w:bookmarkEnd w:id="103"/>
      <w:bookmarkStart w:id="104" w:name="2.7_IPV6与数字校园融合落地设计"/>
      <w:bookmarkEnd w:id="104"/>
      <w:bookmarkStart w:id="105" w:name="_Toc8428"/>
      <w:bookmarkStart w:id="106" w:name="_Toc2803"/>
      <w:bookmarkStart w:id="107" w:name="_Toc15531"/>
      <w:bookmarkStart w:id="108" w:name="_Toc7305"/>
      <w:bookmarkStart w:id="109" w:name="_Toc16202"/>
      <w:r>
        <w:rPr>
          <w:rFonts w:hint="eastAsia" w:ascii="宋体" w:hAnsi="宋体" w:eastAsia="宋体" w:cs="宋体"/>
          <w:kern w:val="44"/>
          <w:sz w:val="24"/>
          <w:szCs w:val="24"/>
        </w:rPr>
        <w:t>2.8.5 IPv6 与数字校园融合</w:t>
      </w:r>
      <w:bookmarkEnd w:id="105"/>
      <w:bookmarkEnd w:id="106"/>
      <w:bookmarkEnd w:id="107"/>
      <w:bookmarkEnd w:id="108"/>
      <w:bookmarkEnd w:id="109"/>
    </w:p>
    <w:p w14:paraId="58CA8B79">
      <w:pPr>
        <w:pStyle w:val="21"/>
        <w:widowControl w:val="0"/>
        <w:numPr>
          <w:ilvl w:val="0"/>
          <w:numId w:val="1"/>
        </w:numPr>
      </w:pPr>
      <w:bookmarkStart w:id="110" w:name="_bookmark41"/>
      <w:bookmarkEnd w:id="110"/>
      <w:bookmarkStart w:id="111" w:name="2.7.1_整体方案快速落地IPv6，提升IPv6用户数和流量"/>
      <w:bookmarkEnd w:id="111"/>
      <w:bookmarkStart w:id="112" w:name="_Toc23109"/>
      <w:r>
        <w:rPr>
          <w:rFonts w:hint="eastAsia"/>
        </w:rPr>
        <w:t>IPv6整体方案快速落地，提升IPv6 用户数和流量</w:t>
      </w:r>
      <w:bookmarkEnd w:id="112"/>
    </w:p>
    <w:p w14:paraId="4C06B185">
      <w:pPr>
        <w:pStyle w:val="19"/>
        <w:ind w:firstLine="480"/>
      </w:pPr>
      <w:r>
        <w:rPr>
          <w:rFonts w:hint="eastAsia"/>
        </w:rPr>
        <w:t>IPv6 由于长度和特性发生很大变化，应当支持与Portal认证等其他服务重新开发测试和对接。</w:t>
      </w:r>
    </w:p>
    <w:p w14:paraId="52EFC47D">
      <w:pPr>
        <w:pStyle w:val="19"/>
        <w:ind w:firstLine="480"/>
        <w:rPr>
          <w:rFonts w:cs="仿宋"/>
          <w:sz w:val="32"/>
          <w:szCs w:val="32"/>
        </w:rPr>
      </w:pPr>
      <w:r>
        <w:rPr>
          <w:rFonts w:hint="eastAsia"/>
        </w:rPr>
        <w:t>提供的方案应当同时支持IPv6双栈和纯单栈模式，必须支持常见的认证和计费方式。包括 Portal认证、无感知认证、802.1x、PPPoE 认证等。支持常见的按用户组、按周期、时长以及按流量等丰富的自定义方式计费。</w:t>
      </w:r>
    </w:p>
    <w:p w14:paraId="53A27939">
      <w:pPr>
        <w:pStyle w:val="21"/>
        <w:widowControl w:val="0"/>
        <w:numPr>
          <w:ilvl w:val="0"/>
          <w:numId w:val="1"/>
        </w:numPr>
      </w:pPr>
      <w:bookmarkStart w:id="113" w:name="2.7.2_IPv6实名审计"/>
      <w:bookmarkEnd w:id="113"/>
      <w:bookmarkStart w:id="114" w:name="_bookmark42"/>
      <w:bookmarkEnd w:id="114"/>
      <w:bookmarkStart w:id="115" w:name="_Toc25595"/>
      <w:r>
        <w:rPr>
          <w:rFonts w:hint="eastAsia"/>
        </w:rPr>
        <w:t>IPv6 实名审计</w:t>
      </w:r>
      <w:bookmarkEnd w:id="115"/>
    </w:p>
    <w:p w14:paraId="7AA93898">
      <w:pPr>
        <w:pStyle w:val="19"/>
        <w:ind w:firstLine="480"/>
      </w:pPr>
      <w:r>
        <w:rPr>
          <w:rFonts w:hint="eastAsia"/>
        </w:rPr>
        <w:t>《网络安全法》、《公安部82号令》明确指出，网络用户应该实名制接入用户对于 IPv6 站点的访问，同样需要进行实名认证。</w:t>
      </w:r>
    </w:p>
    <w:p w14:paraId="48E18850">
      <w:pPr>
        <w:pStyle w:val="19"/>
        <w:ind w:firstLine="480"/>
        <w:rPr>
          <w:rFonts w:cs="仿宋"/>
          <w:sz w:val="32"/>
          <w:szCs w:val="32"/>
        </w:rPr>
      </w:pPr>
      <w:r>
        <w:rPr>
          <w:rFonts w:hint="eastAsia"/>
        </w:rPr>
        <w:t>所提供的解决方案需要支持IPv6实名审计。</w:t>
      </w:r>
      <w:bookmarkStart w:id="116" w:name="_bookmark43"/>
      <w:bookmarkEnd w:id="116"/>
      <w:bookmarkStart w:id="117" w:name="2.7.4_基于用户组，不同协议不同限速，保证用户体验"/>
      <w:bookmarkEnd w:id="117"/>
      <w:bookmarkStart w:id="118" w:name="2.7.3_基于用户组调度流量"/>
      <w:bookmarkEnd w:id="118"/>
      <w:bookmarkStart w:id="119" w:name="_bookmark44"/>
      <w:bookmarkEnd w:id="119"/>
      <w:bookmarkStart w:id="120" w:name="_Toc25674"/>
    </w:p>
    <w:p w14:paraId="1A1911C4">
      <w:pPr>
        <w:pStyle w:val="21"/>
        <w:widowControl w:val="0"/>
        <w:numPr>
          <w:ilvl w:val="0"/>
          <w:numId w:val="1"/>
        </w:numPr>
      </w:pPr>
      <w:r>
        <w:rPr>
          <w:rFonts w:hint="eastAsia"/>
        </w:rPr>
        <w:t>基于用户组和协议的限速</w:t>
      </w:r>
      <w:bookmarkEnd w:id="120"/>
    </w:p>
    <w:p w14:paraId="6EFD5B06">
      <w:pPr>
        <w:pStyle w:val="19"/>
        <w:ind w:firstLine="480"/>
      </w:pPr>
      <w:r>
        <w:rPr>
          <w:rFonts w:hint="eastAsia"/>
        </w:rPr>
        <w:t>IPv4环境下，我们会碰到，一些用户使用BT下载等软件，大量抢占带宽，造成其他用户无法打开网站。IPv6环境下，同样会碰到类似的问题。但传统的方案只能限制IPv4用户流量，不支持限制IPv6用户流量。</w:t>
      </w:r>
    </w:p>
    <w:p w14:paraId="4369BACE">
      <w:pPr>
        <w:pStyle w:val="19"/>
        <w:ind w:firstLine="480"/>
      </w:pPr>
      <w:r>
        <w:rPr>
          <w:rFonts w:hint="eastAsia"/>
        </w:rPr>
        <w:t>要求本次项目解决方案必须实现基于用户组和协议的限速关联，不能简单粗暴地全面限速，而应当可以按不同用户、面对不同的应用协议分别进行IPv4、IPv6流量的限速管理。</w:t>
      </w:r>
    </w:p>
    <w:p w14:paraId="7B14273C">
      <w:pPr>
        <w:pStyle w:val="19"/>
        <w:ind w:firstLine="480"/>
      </w:pPr>
      <w:r>
        <w:rPr>
          <w:rFonts w:hint="eastAsia"/>
        </w:rPr>
        <w:t>此项要求在认证或出口设备等用不同方法实现均可，必须提供完善的具体解决方案。</w:t>
      </w:r>
    </w:p>
    <w:p w14:paraId="710D0F60">
      <w:pPr>
        <w:pStyle w:val="6"/>
        <w:jc w:val="center"/>
        <w:rPr>
          <w:rFonts w:ascii="仿宋" w:hAnsi="仿宋" w:eastAsia="仿宋"/>
        </w:rPr>
      </w:pPr>
      <w:r>
        <w:rPr>
          <w:rFonts w:hint="eastAsia" w:ascii="仿宋" w:hAnsi="仿宋" w:eastAsia="仿宋"/>
        </w:rPr>
        <w:drawing>
          <wp:anchor distT="0" distB="0" distL="114300" distR="114300" simplePos="0" relativeHeight="251662336" behindDoc="0" locked="0" layoutInCell="1" allowOverlap="1">
            <wp:simplePos x="0" y="0"/>
            <wp:positionH relativeFrom="column">
              <wp:posOffset>1006475</wp:posOffset>
            </wp:positionH>
            <wp:positionV relativeFrom="paragraph">
              <wp:posOffset>111125</wp:posOffset>
            </wp:positionV>
            <wp:extent cx="2820670" cy="1997710"/>
            <wp:effectExtent l="0" t="0" r="17780" b="2540"/>
            <wp:wrapTopAndBottom/>
            <wp:docPr id="11" name="图片 11"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0670" cy="1997710"/>
                    </a:xfrm>
                    <a:prstGeom prst="rect">
                      <a:avLst/>
                    </a:prstGeom>
                    <a:noFill/>
                    <a:ln>
                      <a:noFill/>
                    </a:ln>
                  </pic:spPr>
                </pic:pic>
              </a:graphicData>
            </a:graphic>
          </wp:anchor>
        </w:drawing>
      </w:r>
      <w:r>
        <w:rPr>
          <w:rFonts w:hint="eastAsia" w:ascii="仿宋" w:hAnsi="仿宋" w:eastAsia="仿宋"/>
        </w:rPr>
        <w:t>图  2</w:t>
      </w:r>
      <w:r>
        <w:rPr>
          <w:rFonts w:ascii="仿宋" w:hAnsi="仿宋" w:eastAsia="仿宋"/>
        </w:rPr>
        <w:t>-1</w:t>
      </w:r>
      <w:r>
        <w:rPr>
          <w:rFonts w:hint="eastAsia" w:ascii="仿宋" w:hAnsi="仿宋" w:eastAsia="仿宋"/>
        </w:rPr>
        <w:t>1 基于用户组和协议的流量控制方案</w:t>
      </w:r>
    </w:p>
    <w:p w14:paraId="2826E581">
      <w:pPr>
        <w:pStyle w:val="3"/>
        <w:keepNext w:val="0"/>
        <w:keepLines w:val="0"/>
        <w:spacing w:line="240" w:lineRule="auto"/>
        <w:ind w:left="900" w:hanging="900"/>
        <w:rPr>
          <w:rFonts w:ascii="宋体" w:hAnsi="宋体" w:eastAsia="宋体" w:cs="宋体"/>
          <w:kern w:val="44"/>
          <w:sz w:val="24"/>
          <w:szCs w:val="24"/>
        </w:rPr>
      </w:pPr>
      <w:bookmarkStart w:id="121" w:name="_Toc10993"/>
      <w:bookmarkStart w:id="122" w:name="_Toc20233"/>
      <w:bookmarkStart w:id="123" w:name="_Toc2463"/>
      <w:bookmarkStart w:id="124" w:name="_Toc31496"/>
      <w:r>
        <w:rPr>
          <w:rFonts w:hint="eastAsia" w:ascii="宋体" w:hAnsi="宋体" w:eastAsia="宋体" w:cs="宋体"/>
          <w:kern w:val="44"/>
          <w:sz w:val="24"/>
          <w:szCs w:val="24"/>
        </w:rPr>
        <w:t>2.8.6网站群平台升级建设</w:t>
      </w:r>
      <w:bookmarkEnd w:id="121"/>
      <w:bookmarkEnd w:id="122"/>
      <w:bookmarkEnd w:id="123"/>
      <w:bookmarkEnd w:id="124"/>
    </w:p>
    <w:p w14:paraId="7D1AD020">
      <w:pPr>
        <w:pStyle w:val="7"/>
        <w:numPr>
          <w:ilvl w:val="0"/>
          <w:numId w:val="3"/>
        </w:numPr>
        <w:outlineLvl w:val="3"/>
        <w:rPr>
          <w:rFonts w:ascii="新宋体" w:hAnsi="新宋体" w:eastAsia="新宋体" w:cs="仿宋"/>
        </w:rPr>
      </w:pPr>
      <w:r>
        <w:rPr>
          <w:rFonts w:hint="eastAsia" w:ascii="新宋体" w:hAnsi="新宋体" w:eastAsia="新宋体" w:cs="仿宋"/>
          <w:b/>
          <w:bCs/>
        </w:rPr>
        <w:t>网站群平台升级优化</w:t>
      </w:r>
    </w:p>
    <w:p w14:paraId="3F7CDBCD">
      <w:pPr>
        <w:pStyle w:val="19"/>
        <w:ind w:firstLine="480"/>
      </w:pPr>
      <w:r>
        <w:rPr>
          <w:rFonts w:hint="eastAsia"/>
        </w:rPr>
        <w:t>网站群升级将涵盖基础平台的全面提升，旨在增强系统的易用性与功能性，并确保平台底层运行的稳定性和健壮性。升级内容包括安全功能的全面升级，引入下一代安全威胁防控体系（RASP），以及实施场景化运维以提升运维效率。此外，还将打造动态应用开放平台，支持快速部署和迭代新应用。同时，全文检索功能将升级为网站群智能搜索，为用户提供更精准的搜索体验。另外，网页防篡改系统的加入将为网站群的整体运行、管理和维护提供全方位的安全防护。将6</w:t>
      </w:r>
      <w:r>
        <w:t>5</w:t>
      </w:r>
      <w:r>
        <w:rPr>
          <w:rFonts w:hint="eastAsia"/>
        </w:rPr>
        <w:t>50个站点进行全面迁移保证站点的安全稳定运行。</w:t>
      </w:r>
    </w:p>
    <w:p w14:paraId="09AD9A4C">
      <w:pPr>
        <w:pStyle w:val="3"/>
        <w:keepNext w:val="0"/>
        <w:keepLines w:val="0"/>
        <w:spacing w:line="240" w:lineRule="auto"/>
        <w:ind w:left="900" w:hanging="900"/>
        <w:rPr>
          <w:rFonts w:ascii="宋体" w:hAnsi="宋体" w:eastAsia="宋体" w:cs="宋体"/>
          <w:kern w:val="44"/>
          <w:sz w:val="24"/>
          <w:szCs w:val="24"/>
        </w:rPr>
      </w:pPr>
      <w:bookmarkStart w:id="125" w:name="_Toc24451"/>
      <w:bookmarkStart w:id="126" w:name="_Toc372"/>
      <w:bookmarkStart w:id="127" w:name="_Toc20666"/>
      <w:bookmarkStart w:id="128" w:name="_Toc7099"/>
      <w:r>
        <w:rPr>
          <w:rFonts w:hint="eastAsia" w:ascii="宋体" w:hAnsi="宋体" w:eastAsia="宋体" w:cs="宋体"/>
          <w:kern w:val="44"/>
          <w:sz w:val="24"/>
          <w:szCs w:val="24"/>
        </w:rPr>
        <w:t>2.8.7WebVPN设备扩容建设</w:t>
      </w:r>
      <w:bookmarkEnd w:id="125"/>
      <w:bookmarkEnd w:id="126"/>
      <w:bookmarkEnd w:id="127"/>
      <w:bookmarkEnd w:id="128"/>
    </w:p>
    <w:p w14:paraId="08760F61">
      <w:pPr>
        <w:pStyle w:val="19"/>
        <w:ind w:firstLine="480"/>
        <w:rPr>
          <w:rFonts w:cs="仿宋"/>
          <w:sz w:val="32"/>
          <w:szCs w:val="32"/>
        </w:rPr>
      </w:pPr>
      <w:r>
        <w:rPr>
          <w:rFonts w:hint="eastAsia"/>
        </w:rPr>
        <w:t>对学校现有</w:t>
      </w:r>
      <w:r>
        <w:t>W</w:t>
      </w:r>
      <w:r>
        <w:rPr>
          <w:rFonts w:hint="eastAsia"/>
        </w:rPr>
        <w:t>ebVPN并发进行升级扩容，从而保证师生在校外高效、稳定地使用图书馆资源及校内相关业务系统。并发授权达到10000；同时升级硬件以支持配套的性能需求。支持在用户访问目标资源时提示用户正在使用WebVPN环境访问；支持用户自行选择极速模式以加速WebVPN访问效果。</w:t>
      </w:r>
    </w:p>
    <w:p w14:paraId="688CCFA5">
      <w:pPr>
        <w:pStyle w:val="3"/>
        <w:keepNext w:val="0"/>
        <w:keepLines w:val="0"/>
        <w:spacing w:line="240" w:lineRule="auto"/>
        <w:ind w:left="900" w:hanging="900"/>
        <w:rPr>
          <w:rFonts w:ascii="宋体" w:hAnsi="宋体" w:eastAsia="宋体" w:cs="宋体"/>
          <w:kern w:val="44"/>
          <w:sz w:val="24"/>
          <w:szCs w:val="24"/>
        </w:rPr>
      </w:pPr>
      <w:bookmarkStart w:id="129" w:name="_Toc21382"/>
      <w:bookmarkStart w:id="130" w:name="_Toc3348"/>
      <w:bookmarkStart w:id="131" w:name="_Toc25848"/>
      <w:bookmarkStart w:id="132" w:name="_Toc7010"/>
      <w:r>
        <w:rPr>
          <w:rFonts w:hint="eastAsia" w:ascii="宋体" w:hAnsi="宋体" w:eastAsia="宋体" w:cs="宋体"/>
          <w:kern w:val="44"/>
          <w:sz w:val="24"/>
          <w:szCs w:val="24"/>
        </w:rPr>
        <w:t>2.8.8综合布线完善</w:t>
      </w:r>
      <w:bookmarkEnd w:id="129"/>
      <w:bookmarkEnd w:id="130"/>
      <w:bookmarkEnd w:id="131"/>
      <w:bookmarkEnd w:id="132"/>
    </w:p>
    <w:p w14:paraId="766498A6">
      <w:pPr>
        <w:pStyle w:val="19"/>
        <w:ind w:firstLine="480"/>
      </w:pPr>
      <w:r>
        <w:rPr>
          <w:rFonts w:hint="eastAsia"/>
        </w:rPr>
        <w:t>完成格物楼、升华楼、纬地楼、逸夫楼、翡翠科教楼等光网络楼宇ONU到墙面信息点的线路铺设和信息点安装，及以上楼宇老网络设备拆除。具体请自行联系招标方勘察现场。</w:t>
      </w:r>
    </w:p>
    <w:p w14:paraId="567BBD1F">
      <w:pPr>
        <w:pStyle w:val="3"/>
        <w:keepNext w:val="0"/>
        <w:keepLines w:val="0"/>
        <w:spacing w:line="240" w:lineRule="auto"/>
        <w:ind w:left="900" w:hanging="900"/>
        <w:rPr>
          <w:rFonts w:ascii="宋体" w:hAnsi="宋体" w:eastAsia="宋体" w:cs="宋体"/>
          <w:kern w:val="44"/>
          <w:sz w:val="24"/>
          <w:szCs w:val="24"/>
        </w:rPr>
      </w:pPr>
      <w:bookmarkStart w:id="133" w:name="_Toc18393"/>
      <w:bookmarkStart w:id="134" w:name="_Toc31019"/>
      <w:r>
        <w:rPr>
          <w:rFonts w:hint="eastAsia" w:ascii="宋体" w:hAnsi="宋体" w:eastAsia="宋体" w:cs="宋体"/>
          <w:kern w:val="44"/>
          <w:sz w:val="24"/>
          <w:szCs w:val="24"/>
        </w:rPr>
        <w:t>2.8.9割接要求</w:t>
      </w:r>
      <w:bookmarkEnd w:id="133"/>
      <w:bookmarkEnd w:id="134"/>
    </w:p>
    <w:p w14:paraId="754B6614">
      <w:pPr>
        <w:pStyle w:val="19"/>
        <w:ind w:firstLine="480"/>
      </w:pPr>
      <w:r>
        <w:rPr>
          <w:rFonts w:hint="eastAsia"/>
        </w:rPr>
        <w:t>此次项目要求对校园网核心设备进行全面更新升级，以提升网络性能和稳定性，确保校园网能够更好地支持教学、科研及管理等各项业务的高效运行。在实施过程中，必须确保所有正在运行的正常业务不受任何影响，尤其是关键业务如在线教学、视频会议、数据传输等，需保持无缝衔接，避免工作时段任何形式的中断或延迟。</w:t>
      </w:r>
    </w:p>
    <w:p w14:paraId="1E44E77D">
      <w:pPr>
        <w:pStyle w:val="19"/>
        <w:ind w:firstLine="480"/>
      </w:pPr>
      <w:r>
        <w:rPr>
          <w:rFonts w:hint="eastAsia"/>
        </w:rPr>
        <w:t>为此，投标方需深入调研并实地勘察我校现有的网络架构、设备配置、流量分布及业务需求，全面掌握网络环境的现状与潜在风险。在此基础上，制定科学合理、可操作性强的割接方案，确保新旧设备的平滑过渡。割接方案应包括详细的实施步骤、时间安排、应急预案及风险控制措施，确保每个环节都能得到有效监控和管理。</w:t>
      </w:r>
    </w:p>
    <w:p w14:paraId="5EA1EF89">
      <w:pPr>
        <w:pStyle w:val="19"/>
        <w:ind w:firstLine="480"/>
      </w:pPr>
      <w:r>
        <w:rPr>
          <w:rFonts w:hint="eastAsia"/>
        </w:rPr>
        <w:t>割接过程中产生的：光纤尾纤、网线、电源线等耗材更换的费用，设备运输、搬运、安装、调试、人工等费用，以及其他割接流程各环节产生的其他费用都应纳入项目报价中。</w:t>
      </w:r>
    </w:p>
    <w:p w14:paraId="6546BC9E">
      <w:pPr>
        <w:pStyle w:val="19"/>
        <w:ind w:firstLine="480"/>
      </w:pPr>
      <w:r>
        <w:rPr>
          <w:rFonts w:hint="eastAsia"/>
        </w:rPr>
        <w:t>同时，投标方需与校方密切沟通，充分听取意见，确保方案符合实际需求，并在我方技术团队的配合下进行多次模拟演练，验证方案的可行性和安全性。只有在取得我方正式认可后，方可按计划逐步实施。整个过程需严格遵循规范流程，确保项目顺利推进，最终实现校园网的稳定升级，为全校师生提供更加优质的网络服务。</w:t>
      </w:r>
    </w:p>
    <w:p w14:paraId="4F0DD971">
      <w:pPr>
        <w:pStyle w:val="2"/>
        <w:keepNext w:val="0"/>
        <w:keepLines w:val="0"/>
        <w:spacing w:line="240" w:lineRule="auto"/>
        <w:rPr>
          <w:rFonts w:ascii="宋体" w:hAnsi="宋体" w:eastAsia="宋体" w:cs="宋体"/>
          <w:sz w:val="24"/>
          <w:szCs w:val="24"/>
        </w:rPr>
      </w:pPr>
      <w:bookmarkStart w:id="135" w:name="_Toc4371"/>
      <w:bookmarkStart w:id="136" w:name="_Toc27601"/>
      <w:r>
        <w:rPr>
          <w:rFonts w:hint="eastAsia" w:ascii="宋体" w:hAnsi="宋体" w:eastAsia="宋体" w:cs="宋体"/>
          <w:sz w:val="24"/>
          <w:szCs w:val="24"/>
        </w:rPr>
        <w:t>三、详细招标需求</w:t>
      </w:r>
      <w:bookmarkEnd w:id="135"/>
      <w:bookmarkEnd w:id="136"/>
    </w:p>
    <w:p w14:paraId="20459870">
      <w:pPr>
        <w:pStyle w:val="3"/>
        <w:keepNext w:val="0"/>
        <w:keepLines w:val="0"/>
        <w:spacing w:line="240" w:lineRule="auto"/>
        <w:ind w:left="900" w:hanging="900"/>
        <w:rPr>
          <w:rFonts w:ascii="宋体" w:hAnsi="宋体" w:eastAsia="宋体" w:cs="宋体"/>
          <w:kern w:val="44"/>
          <w:sz w:val="24"/>
          <w:szCs w:val="24"/>
          <w:highlight w:val="none"/>
        </w:rPr>
      </w:pPr>
      <w:bookmarkStart w:id="137" w:name="_Toc21592"/>
      <w:bookmarkStart w:id="138" w:name="_Toc11179"/>
      <w:r>
        <w:rPr>
          <w:rFonts w:hint="eastAsia" w:ascii="宋体" w:hAnsi="宋体" w:eastAsia="宋体" w:cs="宋体"/>
          <w:kern w:val="44"/>
          <w:sz w:val="24"/>
          <w:szCs w:val="24"/>
          <w:highlight w:val="none"/>
        </w:rPr>
        <w:t>3.</w:t>
      </w:r>
      <w:r>
        <w:rPr>
          <w:rFonts w:hint="eastAsia" w:ascii="宋体" w:hAnsi="宋体" w:eastAsia="宋体" w:cs="宋体"/>
          <w:kern w:val="44"/>
          <w:sz w:val="24"/>
          <w:szCs w:val="24"/>
          <w:highlight w:val="none"/>
          <w:lang w:val="en-US" w:eastAsia="zh-CN"/>
        </w:rPr>
        <w:t>1</w:t>
      </w:r>
      <w:r>
        <w:rPr>
          <w:rFonts w:hint="eastAsia" w:ascii="宋体" w:hAnsi="宋体" w:eastAsia="宋体" w:cs="宋体"/>
          <w:kern w:val="44"/>
          <w:sz w:val="24"/>
          <w:szCs w:val="24"/>
          <w:highlight w:val="none"/>
        </w:rPr>
        <w:t>通用要求</w:t>
      </w:r>
      <w:bookmarkEnd w:id="137"/>
      <w:bookmarkEnd w:id="138"/>
    </w:p>
    <w:p w14:paraId="25259FF1">
      <w:pPr>
        <w:pStyle w:val="3"/>
        <w:keepNext w:val="0"/>
        <w:keepLines w:val="0"/>
        <w:spacing w:line="240" w:lineRule="auto"/>
        <w:ind w:left="900" w:hanging="900"/>
        <w:rPr>
          <w:rFonts w:ascii="宋体" w:hAnsi="宋体" w:eastAsia="宋体" w:cs="宋体"/>
          <w:kern w:val="44"/>
          <w:sz w:val="24"/>
          <w:szCs w:val="24"/>
        </w:rPr>
      </w:pPr>
      <w:bookmarkStart w:id="139" w:name="_Toc24057"/>
      <w:bookmarkStart w:id="140" w:name="_Toc29446"/>
      <w:bookmarkStart w:id="141" w:name="_Toc78273798"/>
      <w:bookmarkStart w:id="142" w:name="_Toc15109"/>
      <w:r>
        <w:rPr>
          <w:rFonts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ascii="宋体" w:hAnsi="宋体" w:eastAsia="宋体" w:cs="宋体"/>
          <w:kern w:val="44"/>
          <w:sz w:val="24"/>
          <w:szCs w:val="24"/>
        </w:rPr>
        <w:t>1</w:t>
      </w:r>
      <w:r>
        <w:rPr>
          <w:rFonts w:hint="eastAsia" w:ascii="宋体" w:hAnsi="宋体" w:eastAsia="宋体" w:cs="宋体"/>
          <w:kern w:val="44"/>
          <w:sz w:val="24"/>
          <w:szCs w:val="24"/>
        </w:rPr>
        <w:t>概念定义</w:t>
      </w:r>
      <w:bookmarkEnd w:id="139"/>
      <w:bookmarkEnd w:id="140"/>
    </w:p>
    <w:p w14:paraId="17E11F2E">
      <w:pPr>
        <w:spacing w:line="300" w:lineRule="auto"/>
        <w:rPr>
          <w:rFonts w:ascii="宋体" w:hAnsi="宋体" w:eastAsia="宋体" w:cs="宋体"/>
        </w:rPr>
      </w:pPr>
      <w:r>
        <w:rPr>
          <w:rFonts w:hint="eastAsia" w:ascii="宋体" w:hAnsi="宋体" w:eastAsia="宋体" w:cs="宋体"/>
        </w:rPr>
        <w:t>以下为适用于本招标需求的相关名词术语的现场含义。解释权归招标方。</w:t>
      </w:r>
    </w:p>
    <w:p w14:paraId="174FAB61">
      <w:pPr>
        <w:pStyle w:val="22"/>
        <w:spacing w:line="300" w:lineRule="auto"/>
        <w:rPr>
          <w:rFonts w:ascii="宋体" w:hAnsi="宋体" w:eastAsia="宋体" w:cs="宋体"/>
        </w:rPr>
      </w:pPr>
      <w:r>
        <w:rPr>
          <w:rFonts w:hint="eastAsia" w:ascii="宋体" w:hAnsi="宋体" w:eastAsia="宋体" w:cs="宋体"/>
        </w:rPr>
        <w:t>1.原厂质保服务、原厂服务（及其他等效表述）</w:t>
      </w:r>
    </w:p>
    <w:p w14:paraId="1F5BBEDF">
      <w:pPr>
        <w:spacing w:line="300" w:lineRule="auto"/>
        <w:ind w:firstLine="420" w:firstLineChars="200"/>
        <w:rPr>
          <w:rFonts w:ascii="宋体" w:hAnsi="宋体" w:eastAsia="宋体" w:cs="宋体"/>
        </w:rPr>
      </w:pPr>
      <w:r>
        <w:rPr>
          <w:rFonts w:hint="eastAsia" w:ascii="宋体" w:hAnsi="宋体" w:eastAsia="宋体" w:cs="宋体"/>
        </w:rPr>
        <w:t>指由对货物拥有知识产权的生产商直接提供的相关服务，包含人员、配件以及其他相关支持。不包含由厂商授权的第三方、各种级别的代理商、合作方以及具有其认证资质的第三方单位、团体或个人等。</w:t>
      </w:r>
    </w:p>
    <w:p w14:paraId="04336E35">
      <w:pPr>
        <w:pStyle w:val="3"/>
        <w:keepNext w:val="0"/>
        <w:keepLines w:val="0"/>
        <w:spacing w:line="240" w:lineRule="auto"/>
        <w:ind w:left="900" w:hanging="900"/>
        <w:rPr>
          <w:rFonts w:ascii="宋体" w:hAnsi="宋体" w:eastAsia="宋体" w:cs="宋体"/>
          <w:kern w:val="44"/>
          <w:sz w:val="24"/>
          <w:szCs w:val="24"/>
        </w:rPr>
      </w:pPr>
      <w:bookmarkStart w:id="143" w:name="_Toc16895"/>
      <w:bookmarkStart w:id="144" w:name="_Toc32113"/>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2总体要求</w:t>
      </w:r>
      <w:bookmarkEnd w:id="141"/>
      <w:bookmarkEnd w:id="142"/>
      <w:bookmarkEnd w:id="143"/>
      <w:bookmarkEnd w:id="144"/>
    </w:p>
    <w:p w14:paraId="35810969">
      <w:pPr>
        <w:spacing w:line="300" w:lineRule="auto"/>
        <w:ind w:firstLine="420" w:firstLineChars="200"/>
        <w:rPr>
          <w:rFonts w:ascii="宋体" w:hAnsi="宋体" w:eastAsia="宋体" w:cs="宋体"/>
        </w:rPr>
      </w:pPr>
      <w:r>
        <w:rPr>
          <w:rFonts w:hint="eastAsia" w:ascii="宋体" w:hAnsi="宋体" w:eastAsia="宋体" w:cs="宋体"/>
        </w:rPr>
        <w:t>1.项目核验要求</w:t>
      </w:r>
    </w:p>
    <w:p w14:paraId="12D03FFA">
      <w:pPr>
        <w:spacing w:line="300" w:lineRule="auto"/>
        <w:ind w:firstLine="420" w:firstLineChars="200"/>
        <w:rPr>
          <w:rFonts w:ascii="宋体" w:hAnsi="宋体" w:eastAsia="宋体" w:cs="宋体"/>
        </w:rPr>
      </w:pPr>
      <w:r>
        <w:rPr>
          <w:rFonts w:hint="eastAsia" w:ascii="宋体" w:hAnsi="宋体" w:eastAsia="宋体" w:cs="宋体"/>
        </w:rPr>
        <w:t>项目签订合同后、开始正式实施前，甲方可展开小范围的核验（包括但不限于演示、测试、核验有效证明材料，比如证书、佐证材料、查验人员归属身份等，乙方必须无条件配合），一旦发现核验结果与响应文件、现场答疑或承诺不完全相符，或无法证明真实性的（包括但不限于与投标响应文件存在不符、功能不能实现、不能按要求对接现有系统、单方面要求改变现有系统状态、无法满足设计规范、不符合系统实施方案的要求等），任何一种情况均以虚假应标处理，甲方可以立即中止合同并追究乙方责任，由此所产生的一切费用及项目延误造成的一切损失由投标人承担。</w:t>
      </w:r>
    </w:p>
    <w:p w14:paraId="438C4FBD">
      <w:pPr>
        <w:spacing w:line="300" w:lineRule="auto"/>
        <w:ind w:firstLine="420" w:firstLineChars="200"/>
        <w:rPr>
          <w:rFonts w:ascii="宋体" w:hAnsi="宋体" w:eastAsia="宋体" w:cs="宋体"/>
        </w:rPr>
      </w:pPr>
      <w:r>
        <w:rPr>
          <w:rFonts w:hint="eastAsia" w:ascii="宋体" w:hAnsi="宋体" w:eastAsia="宋体" w:cs="宋体"/>
        </w:rPr>
        <w:t>2.部署地点说明</w:t>
      </w:r>
    </w:p>
    <w:p w14:paraId="70FF94A5">
      <w:pPr>
        <w:spacing w:line="300" w:lineRule="auto"/>
        <w:ind w:firstLine="420" w:firstLineChars="200"/>
        <w:rPr>
          <w:rFonts w:ascii="宋体" w:hAnsi="宋体" w:eastAsia="宋体" w:cs="宋体"/>
        </w:rPr>
      </w:pPr>
      <w:r>
        <w:rPr>
          <w:rFonts w:hint="eastAsia" w:ascii="宋体" w:hAnsi="宋体" w:eastAsia="宋体" w:cs="宋体"/>
        </w:rPr>
        <w:t>所有标包的实施地点均在合肥工业大学校园，具体的实施场所由业主方另行指定。</w:t>
      </w:r>
    </w:p>
    <w:p w14:paraId="26A168B8">
      <w:pPr>
        <w:spacing w:line="300" w:lineRule="auto"/>
        <w:ind w:firstLine="420" w:firstLineChars="200"/>
        <w:rPr>
          <w:rFonts w:ascii="宋体" w:hAnsi="宋体" w:eastAsia="宋体" w:cs="宋体"/>
        </w:rPr>
      </w:pPr>
      <w:r>
        <w:rPr>
          <w:rFonts w:hint="eastAsia" w:ascii="宋体" w:hAnsi="宋体" w:eastAsia="宋体" w:cs="宋体"/>
        </w:rPr>
        <w:t>3.现场勘查</w:t>
      </w:r>
    </w:p>
    <w:p w14:paraId="7218337A">
      <w:pPr>
        <w:spacing w:line="300" w:lineRule="auto"/>
        <w:ind w:firstLine="422" w:firstLineChars="200"/>
        <w:rPr>
          <w:rFonts w:ascii="宋体" w:hAnsi="宋体" w:eastAsia="宋体" w:cs="宋体"/>
        </w:rPr>
      </w:pPr>
      <w:r>
        <w:rPr>
          <w:rFonts w:hint="eastAsia" w:ascii="宋体" w:hAnsi="宋体" w:eastAsia="宋体" w:cs="宋体"/>
          <w:b/>
          <w:bCs/>
        </w:rPr>
        <w:t>根据自愿原则，投标人自行勘查现场。</w:t>
      </w:r>
      <w:r>
        <w:rPr>
          <w:rFonts w:hint="eastAsia" w:ascii="宋体" w:hAnsi="宋体" w:eastAsia="宋体" w:cs="宋体"/>
        </w:rPr>
        <w:t>只要参与本项目投标，即认为认可并充分了解了项目需求，不得以意思误解、情况不了解、交底不清等理由提出任何异议。</w:t>
      </w:r>
    </w:p>
    <w:p w14:paraId="5DB66CEB">
      <w:pPr>
        <w:spacing w:line="300" w:lineRule="auto"/>
        <w:ind w:firstLine="420" w:firstLineChars="200"/>
        <w:rPr>
          <w:rFonts w:ascii="宋体" w:hAnsi="宋体" w:eastAsia="宋体" w:cs="宋体"/>
        </w:rPr>
      </w:pPr>
      <w:r>
        <w:rPr>
          <w:rFonts w:hint="eastAsia" w:ascii="宋体" w:hAnsi="宋体" w:eastAsia="宋体" w:cs="宋体"/>
        </w:rPr>
        <w:t>勘查现场前必须遵守学校相关管理规定，经审批同意后方可进场勘查。</w:t>
      </w:r>
    </w:p>
    <w:p w14:paraId="6639E00D">
      <w:pPr>
        <w:spacing w:line="300" w:lineRule="auto"/>
        <w:ind w:firstLine="420" w:firstLineChars="200"/>
        <w:rPr>
          <w:rFonts w:ascii="宋体" w:hAnsi="宋体" w:eastAsia="宋体" w:cs="宋体"/>
        </w:rPr>
      </w:pPr>
      <w:r>
        <w:rPr>
          <w:rFonts w:hint="eastAsia" w:ascii="宋体" w:hAnsi="宋体" w:eastAsia="宋体" w:cs="宋体"/>
        </w:rPr>
        <w:t>4.设备厂商服务承诺</w:t>
      </w:r>
    </w:p>
    <w:p w14:paraId="109C363C">
      <w:pPr>
        <w:spacing w:line="300" w:lineRule="auto"/>
        <w:ind w:firstLine="420" w:firstLineChars="200"/>
        <w:rPr>
          <w:rFonts w:ascii="宋体" w:hAnsi="宋体" w:eastAsia="宋体" w:cs="宋体"/>
        </w:rPr>
      </w:pPr>
      <w:r>
        <w:rPr>
          <w:rFonts w:hint="eastAsia" w:ascii="宋体" w:hAnsi="宋体" w:eastAsia="宋体" w:cs="宋体"/>
        </w:rPr>
        <w:t>本项目采购的以下设备：核心交换机A、核心交换机B（无线）、汇聚交换机、校园网防火墙、核心交换机B（宣城）、校园网SDN服务链A、校园网SDN服务链B（宣城）、校园网出口设备、校园网络认证设备，</w:t>
      </w:r>
      <w:r>
        <w:rPr>
          <w:rFonts w:hint="eastAsia" w:ascii="宋体" w:hAnsi="宋体" w:eastAsia="宋体" w:cs="宋体"/>
          <w:b/>
          <w:bCs/>
        </w:rPr>
        <w:t>设备中标厂商必须在项目签订合同日期之前向招标方（合肥工业大学）提供关于本项目设备性能和服务质量的承诺函。</w:t>
      </w:r>
    </w:p>
    <w:p w14:paraId="183A8A47">
      <w:pPr>
        <w:pStyle w:val="3"/>
        <w:keepNext w:val="0"/>
        <w:keepLines w:val="0"/>
        <w:spacing w:line="240" w:lineRule="auto"/>
        <w:ind w:left="900" w:hanging="900"/>
        <w:rPr>
          <w:rFonts w:ascii="宋体" w:hAnsi="宋体" w:eastAsia="宋体" w:cs="宋体"/>
          <w:kern w:val="44"/>
          <w:sz w:val="24"/>
          <w:szCs w:val="24"/>
        </w:rPr>
      </w:pPr>
      <w:bookmarkStart w:id="145" w:name="_Toc9850"/>
      <w:bookmarkStart w:id="146" w:name="_Toc23200"/>
      <w:bookmarkStart w:id="147" w:name="_Toc78273799"/>
      <w:bookmarkStart w:id="148" w:name="_Toc15021"/>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3报价要求</w:t>
      </w:r>
      <w:bookmarkEnd w:id="145"/>
      <w:bookmarkEnd w:id="146"/>
    </w:p>
    <w:p w14:paraId="777DAF29">
      <w:pPr>
        <w:spacing w:line="300" w:lineRule="auto"/>
        <w:ind w:firstLine="482"/>
        <w:rPr>
          <w:rFonts w:ascii="宋体" w:hAnsi="宋体" w:eastAsia="宋体" w:cs="宋体"/>
        </w:rPr>
      </w:pPr>
      <w:r>
        <w:rPr>
          <w:rFonts w:hint="eastAsia" w:ascii="宋体" w:hAnsi="宋体" w:eastAsia="宋体" w:cs="宋体"/>
          <w:b/>
        </w:rPr>
        <w:t>项目以交钥匙工程方式报价。</w:t>
      </w:r>
      <w:r>
        <w:rPr>
          <w:rFonts w:hint="eastAsia" w:ascii="宋体" w:hAnsi="宋体" w:eastAsia="宋体" w:cs="宋体"/>
          <w:bCs/>
        </w:rPr>
        <w:t>报价</w:t>
      </w:r>
      <w:r>
        <w:rPr>
          <w:rFonts w:hint="eastAsia" w:ascii="宋体" w:hAnsi="宋体" w:eastAsia="宋体" w:cs="宋体"/>
        </w:rPr>
        <w:t>必须以实现项目的建设原则、建设目标、建设绩效等作为前提；如未明确约定，则必须以项目全业务流程、全功能均无条件可用为前提。投标方必须以从管理者到最终用户实现项目所有功能、所有模块可无条件全部顺利投入使用、达到建设规划设计和建设绩效要求，作为成本核算和报价的条件依据。</w:t>
      </w:r>
    </w:p>
    <w:p w14:paraId="4E7EE345">
      <w:pPr>
        <w:spacing w:line="300" w:lineRule="auto"/>
        <w:ind w:firstLine="482"/>
        <w:rPr>
          <w:rFonts w:ascii="宋体" w:hAnsi="宋体" w:eastAsia="宋体" w:cs="宋体"/>
        </w:rPr>
      </w:pPr>
      <w:r>
        <w:rPr>
          <w:rFonts w:hint="eastAsia" w:ascii="宋体" w:hAnsi="宋体" w:eastAsia="宋体" w:cs="宋体"/>
          <w:b/>
        </w:rPr>
        <w:t>报价必须包含项目通过最终验收前达到项目建设目标所需的全部硬件、软件、服务、各种杂费和不可预见费用。如果项目实施过程中发现影响建设目标达成的漏项，则这部分费用按照不可预见费用处理。</w:t>
      </w:r>
      <w:r>
        <w:rPr>
          <w:rFonts w:hint="eastAsia" w:ascii="宋体" w:hAnsi="宋体" w:eastAsia="宋体" w:cs="宋体"/>
        </w:rPr>
        <w:t>包含（但不限于）所有设备的安装调试、附属的综合布线及施工、器件定制、工作及施工所需线材、辅材、配件、穿墙打洞、挖沟覆土、现场修复、运输、安装、调试、协调对接、异地差旅费、项目相关的第三方协作费用、旧件拆除、设备利旧、清洁整理、安全加固、运送指定场地、场地规整、配置迁移、功能辅属或配套、性能调优、落地应用等实现绩效目标所须的资源、材料、人工以及其他不可预见费用；总体上以实现全套采购的设备均可顺利投入使用并达到建设规划设计和建设绩效目标为验收的基本条件。</w:t>
      </w:r>
    </w:p>
    <w:p w14:paraId="0F4B412B">
      <w:pPr>
        <w:spacing w:line="300" w:lineRule="auto"/>
        <w:rPr>
          <w:rFonts w:ascii="宋体" w:hAnsi="宋体" w:eastAsia="宋体" w:cs="宋体"/>
        </w:rPr>
      </w:pPr>
      <w:r>
        <w:rPr>
          <w:rFonts w:hint="eastAsia" w:ascii="宋体" w:hAnsi="宋体" w:eastAsia="宋体" w:cs="宋体"/>
        </w:rPr>
        <w:t>招标人不负责、不参与与合同之外的任何第三方交涉，且不承担相关费用。</w:t>
      </w:r>
    </w:p>
    <w:p w14:paraId="48A20B34">
      <w:pPr>
        <w:spacing w:line="300" w:lineRule="auto"/>
        <w:ind w:firstLine="420" w:firstLineChars="200"/>
        <w:rPr>
          <w:rFonts w:ascii="宋体" w:hAnsi="宋体" w:eastAsia="宋体" w:cs="宋体"/>
        </w:rPr>
      </w:pPr>
      <w:r>
        <w:rPr>
          <w:rFonts w:hint="eastAsia" w:ascii="宋体" w:hAnsi="宋体" w:eastAsia="宋体" w:cs="宋体"/>
        </w:rPr>
        <w:t>报价时，硬件必须包含但不限于“裸设备+配套软件及组件+安装部署所需辅材耗材+调试+至少5年配套免费售后服务（具体以参数要求和响应时间为准）”等综合费用；软件类必须包含但不限于“自有代码+采购第三方代码或组件+定制+调试+BUG消除+安全合规+兼容对接+正版授权+版本及组件、库终身升级”等费用。</w:t>
      </w:r>
    </w:p>
    <w:p w14:paraId="69602C78">
      <w:pPr>
        <w:spacing w:line="300" w:lineRule="auto"/>
        <w:ind w:firstLine="420" w:firstLineChars="200"/>
        <w:rPr>
          <w:rFonts w:ascii="宋体" w:hAnsi="宋体" w:eastAsia="宋体" w:cs="宋体"/>
        </w:rPr>
      </w:pPr>
      <w:r>
        <w:rPr>
          <w:rFonts w:hint="eastAsia" w:ascii="宋体" w:hAnsi="宋体" w:eastAsia="宋体" w:cs="宋体"/>
        </w:rPr>
        <w:t>要求投标报价必须包含各种接口开放对接、软件正版授权、应用定制、业务修订、BUG消除、特征库更新服务以及产品安全应急响应、业务流程的重新适配、原厂巡检等相关服务费用。</w:t>
      </w:r>
    </w:p>
    <w:p w14:paraId="2ABBF899">
      <w:pPr>
        <w:spacing w:line="300" w:lineRule="auto"/>
        <w:ind w:firstLine="420" w:firstLineChars="200"/>
        <w:rPr>
          <w:rFonts w:ascii="宋体" w:hAnsi="宋体" w:eastAsia="宋体" w:cs="宋体"/>
        </w:rPr>
      </w:pPr>
      <w:r>
        <w:rPr>
          <w:rFonts w:hint="eastAsia" w:ascii="宋体" w:hAnsi="宋体" w:eastAsia="宋体" w:cs="宋体"/>
        </w:rPr>
        <w:t>设备质保期内，不得向招标方主张任何未实际享受的服务的费用（如要求补齐脱保期间的服务费用等）。如果因此增加了投标成本，则所需的这些费用应当包含在投标总报价内。</w:t>
      </w:r>
    </w:p>
    <w:p w14:paraId="035C5B30">
      <w:pPr>
        <w:spacing w:line="300" w:lineRule="auto"/>
        <w:ind w:firstLine="420" w:firstLineChars="200"/>
        <w:rPr>
          <w:rFonts w:ascii="宋体" w:hAnsi="宋体" w:eastAsia="宋体" w:cs="宋体"/>
        </w:rPr>
      </w:pPr>
      <w:r>
        <w:rPr>
          <w:rFonts w:hint="eastAsia" w:ascii="宋体" w:hAnsi="宋体" w:eastAsia="宋体" w:cs="宋体"/>
        </w:rPr>
        <w:t>合同期间不得提出其他额外的费用要求。</w:t>
      </w:r>
    </w:p>
    <w:p w14:paraId="2CF761D1">
      <w:pPr>
        <w:pStyle w:val="3"/>
        <w:keepNext w:val="0"/>
        <w:keepLines w:val="0"/>
        <w:spacing w:line="240" w:lineRule="auto"/>
        <w:ind w:left="900" w:hanging="900"/>
        <w:rPr>
          <w:rFonts w:ascii="宋体" w:hAnsi="宋体" w:eastAsia="宋体" w:cs="宋体"/>
          <w:kern w:val="44"/>
          <w:sz w:val="24"/>
          <w:szCs w:val="24"/>
        </w:rPr>
      </w:pPr>
      <w:bookmarkStart w:id="149" w:name="_Toc26804"/>
      <w:bookmarkStart w:id="150" w:name="_Toc9090"/>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4安装调试及售后服务要求</w:t>
      </w:r>
      <w:bookmarkEnd w:id="147"/>
      <w:bookmarkEnd w:id="148"/>
      <w:bookmarkEnd w:id="149"/>
      <w:bookmarkEnd w:id="150"/>
    </w:p>
    <w:p w14:paraId="39C66B40">
      <w:pPr>
        <w:pStyle w:val="22"/>
        <w:spacing w:line="300" w:lineRule="auto"/>
        <w:rPr>
          <w:rFonts w:ascii="宋体" w:hAnsi="宋体" w:eastAsia="宋体" w:cs="宋体"/>
        </w:rPr>
      </w:pPr>
      <w:r>
        <w:rPr>
          <w:rFonts w:hint="eastAsia" w:ascii="宋体" w:hAnsi="宋体" w:eastAsia="宋体" w:cs="宋体"/>
        </w:rPr>
        <w:t>1.施工要求</w:t>
      </w:r>
    </w:p>
    <w:p w14:paraId="2E69BFF6">
      <w:pPr>
        <w:spacing w:line="300" w:lineRule="auto"/>
        <w:ind w:firstLine="420" w:firstLineChars="200"/>
        <w:rPr>
          <w:rFonts w:ascii="宋体" w:hAnsi="宋体" w:eastAsia="宋体" w:cs="宋体"/>
        </w:rPr>
      </w:pPr>
      <w:r>
        <w:rPr>
          <w:rFonts w:hint="eastAsia" w:ascii="宋体" w:hAnsi="宋体" w:eastAsia="宋体" w:cs="宋体"/>
        </w:rPr>
        <w:t>项目实施过程中，业主方有利旧要求时，承建方需要进行合理利用，利旧使用时，陈旧线缆必须清除后重新按规范布线；</w:t>
      </w:r>
    </w:p>
    <w:p w14:paraId="5B9AE728">
      <w:pPr>
        <w:spacing w:line="300" w:lineRule="auto"/>
        <w:ind w:firstLine="420" w:firstLineChars="200"/>
        <w:rPr>
          <w:rFonts w:ascii="宋体" w:hAnsi="宋体" w:eastAsia="宋体" w:cs="宋体"/>
        </w:rPr>
      </w:pPr>
      <w:r>
        <w:rPr>
          <w:rFonts w:hint="eastAsia" w:ascii="宋体" w:hAnsi="宋体" w:eastAsia="宋体" w:cs="宋体"/>
        </w:rPr>
        <w:t>承建方应当负责施工现场的场地清理、规整、垃圾清运、损坏场地的外观修补；对旧器件负责拆除、迁移、整合、整理、搬迁到用户指定的位置，必要时做好台账；</w:t>
      </w:r>
    </w:p>
    <w:p w14:paraId="46D2C217">
      <w:pPr>
        <w:spacing w:line="300" w:lineRule="auto"/>
        <w:ind w:firstLine="420" w:firstLineChars="200"/>
        <w:rPr>
          <w:rFonts w:ascii="宋体" w:hAnsi="宋体" w:eastAsia="宋体" w:cs="宋体"/>
        </w:rPr>
      </w:pPr>
      <w:r>
        <w:rPr>
          <w:rFonts w:hint="eastAsia" w:ascii="宋体" w:hAnsi="宋体" w:eastAsia="宋体" w:cs="宋体"/>
        </w:rPr>
        <w:t>施工全程须做好成品保护，不得擅自决定拆除与否、不得擅自处置拆除的器件与设施，对于紧固件等辅材应当换新；因项目实施需要，必须改变现场设施状态时，承建方必须负责尽快做好现场还原工作；施工时对现场环境、器件等造成损害的，承建方必须负责修复或恢复功能状态。</w:t>
      </w:r>
    </w:p>
    <w:p w14:paraId="78887699">
      <w:pPr>
        <w:spacing w:line="300" w:lineRule="auto"/>
        <w:ind w:firstLine="420" w:firstLineChars="200"/>
        <w:rPr>
          <w:rFonts w:ascii="宋体" w:hAnsi="宋体" w:eastAsia="宋体" w:cs="宋体"/>
        </w:rPr>
      </w:pPr>
      <w:r>
        <w:rPr>
          <w:rFonts w:hint="eastAsia" w:ascii="宋体" w:hAnsi="宋体" w:eastAsia="宋体" w:cs="宋体"/>
        </w:rPr>
        <w:t>负责对既有系统的数据免费导入、迁移、调试等工作。</w:t>
      </w:r>
    </w:p>
    <w:p w14:paraId="02C39EDE">
      <w:pPr>
        <w:spacing w:line="300" w:lineRule="auto"/>
        <w:ind w:firstLine="420" w:firstLineChars="200"/>
        <w:rPr>
          <w:rFonts w:ascii="宋体" w:hAnsi="宋体" w:eastAsia="宋体" w:cs="宋体"/>
        </w:rPr>
      </w:pPr>
      <w:r>
        <w:rPr>
          <w:rFonts w:hint="eastAsia" w:ascii="宋体" w:hAnsi="宋体" w:eastAsia="宋体" w:cs="宋体"/>
        </w:rPr>
        <w:t>必须无条件接受业主方的现场质量监督。</w:t>
      </w:r>
    </w:p>
    <w:p w14:paraId="63548FAF">
      <w:pPr>
        <w:spacing w:line="300" w:lineRule="auto"/>
        <w:ind w:firstLine="420" w:firstLineChars="200"/>
        <w:rPr>
          <w:rFonts w:ascii="宋体" w:hAnsi="宋体" w:eastAsia="宋体" w:cs="宋体"/>
        </w:rPr>
      </w:pPr>
      <w:r>
        <w:rPr>
          <w:rFonts w:hint="eastAsia" w:ascii="宋体" w:hAnsi="宋体" w:eastAsia="宋体" w:cs="宋体"/>
        </w:rPr>
        <w:t>对于重要网络设备，割接过程中原则上要求不丢配置、不断网。</w:t>
      </w:r>
    </w:p>
    <w:p w14:paraId="6DBD007F">
      <w:pPr>
        <w:pStyle w:val="22"/>
        <w:spacing w:line="300" w:lineRule="auto"/>
        <w:rPr>
          <w:rFonts w:ascii="宋体" w:hAnsi="宋体" w:eastAsia="宋体" w:cs="宋体"/>
        </w:rPr>
      </w:pPr>
      <w:r>
        <w:rPr>
          <w:rFonts w:hint="eastAsia" w:ascii="宋体" w:hAnsi="宋体" w:eastAsia="宋体" w:cs="宋体"/>
        </w:rPr>
        <w:t>2.证明材料要求</w:t>
      </w:r>
    </w:p>
    <w:p w14:paraId="04911B95">
      <w:pPr>
        <w:spacing w:line="300" w:lineRule="auto"/>
        <w:ind w:firstLine="420" w:firstLineChars="200"/>
        <w:rPr>
          <w:rFonts w:ascii="宋体" w:hAnsi="宋体" w:eastAsia="宋体" w:cs="宋体"/>
        </w:rPr>
      </w:pPr>
      <w:r>
        <w:rPr>
          <w:rFonts w:hint="eastAsia" w:ascii="宋体" w:hAnsi="宋体" w:eastAsia="宋体" w:cs="宋体"/>
        </w:rPr>
        <w:t>提供设备操作说明书、产品检验合格证书、原厂产品保修单等，计量器具需要提供国家认可的计量检定认证证书。根据用户要求免费提供并安装项目实施所需的正版操作系统及与项目有关的应用软件；软件必须提供安装介质（含密钥、加密狗等安装所必须的介质，如果有）和书面的合法使用授权。</w:t>
      </w:r>
    </w:p>
    <w:p w14:paraId="2B21FB52">
      <w:pPr>
        <w:pStyle w:val="22"/>
        <w:spacing w:line="300" w:lineRule="auto"/>
        <w:rPr>
          <w:rFonts w:ascii="宋体" w:hAnsi="宋体" w:eastAsia="宋体" w:cs="宋体"/>
        </w:rPr>
      </w:pPr>
      <w:r>
        <w:rPr>
          <w:rFonts w:hint="eastAsia" w:ascii="宋体" w:hAnsi="宋体" w:eastAsia="宋体" w:cs="宋体"/>
        </w:rPr>
        <w:t>3.备品备件</w:t>
      </w:r>
    </w:p>
    <w:p w14:paraId="3599B929">
      <w:pPr>
        <w:spacing w:line="300" w:lineRule="auto"/>
        <w:ind w:firstLine="420" w:firstLineChars="200"/>
        <w:rPr>
          <w:rFonts w:ascii="宋体" w:hAnsi="宋体" w:eastAsia="宋体" w:cs="宋体"/>
        </w:rPr>
      </w:pPr>
      <w:r>
        <w:rPr>
          <w:rFonts w:hint="eastAsia" w:ascii="宋体" w:hAnsi="宋体" w:eastAsia="宋体" w:cs="宋体"/>
        </w:rPr>
        <w:t>乙方须提供基本数量的备机备件（与现场设备匹配的型号与质量匹配，中途发生消耗时，必须在一周内补充，不得出现空档）存放在甲方指定位置备用，以保障服务的质量与效果；对于未明确要求的备机、备件，只要属于项目范围内的合理需要，乙方必须按需提供。</w:t>
      </w:r>
    </w:p>
    <w:p w14:paraId="3E9E9F72">
      <w:pPr>
        <w:spacing w:line="300" w:lineRule="auto"/>
        <w:rPr>
          <w:rFonts w:ascii="宋体" w:hAnsi="宋体" w:eastAsia="宋体" w:cs="宋体"/>
        </w:rPr>
      </w:pPr>
      <w:r>
        <w:rPr>
          <w:rFonts w:hint="eastAsia" w:ascii="宋体" w:hAnsi="宋体" w:eastAsia="宋体" w:cs="宋体"/>
        </w:rPr>
        <w:t>备机即相关设备的备用整机，备件即完成服务保障目的组件、配件、辅材、耗材等。</w:t>
      </w:r>
    </w:p>
    <w:p w14:paraId="036B4549">
      <w:pPr>
        <w:pStyle w:val="22"/>
        <w:spacing w:line="300" w:lineRule="auto"/>
        <w:rPr>
          <w:rFonts w:ascii="宋体" w:hAnsi="宋体" w:eastAsia="宋体" w:cs="宋体"/>
        </w:rPr>
      </w:pPr>
      <w:r>
        <w:rPr>
          <w:rFonts w:hint="eastAsia" w:ascii="宋体" w:hAnsi="宋体" w:eastAsia="宋体" w:cs="宋体"/>
        </w:rPr>
        <w:t>4.人员培训</w:t>
      </w:r>
    </w:p>
    <w:p w14:paraId="22D9FA0C">
      <w:pPr>
        <w:spacing w:line="300" w:lineRule="auto"/>
        <w:ind w:firstLine="482"/>
        <w:rPr>
          <w:rFonts w:ascii="宋体" w:hAnsi="宋体" w:eastAsia="宋体" w:cs="宋体"/>
        </w:rPr>
      </w:pPr>
      <w:bookmarkStart w:id="151" w:name="OLE_LINK22"/>
      <w:bookmarkStart w:id="152" w:name="OLE_LINK21"/>
      <w:r>
        <w:rPr>
          <w:rFonts w:hint="eastAsia" w:ascii="宋体" w:hAnsi="宋体" w:eastAsia="宋体" w:cs="宋体"/>
          <w:b/>
        </w:rPr>
        <w:t>中标人须对用户相关人员进行免费现场培训。</w:t>
      </w:r>
      <w:bookmarkEnd w:id="151"/>
      <w:bookmarkEnd w:id="152"/>
      <w:r>
        <w:rPr>
          <w:rFonts w:hint="eastAsia" w:ascii="宋体" w:hAnsi="宋体" w:eastAsia="宋体" w:cs="宋体"/>
        </w:rPr>
        <w:t>培训次数及规模按需确定，不得以集中培训完全替代针对性培训；用户有再次培训要求时必须满足。培训包括仪器设备工作原理、操作要领及步骤、维修维护和保养等各个方面。</w:t>
      </w:r>
    </w:p>
    <w:p w14:paraId="00F8E2E3">
      <w:pPr>
        <w:spacing w:line="300" w:lineRule="auto"/>
        <w:ind w:firstLine="482"/>
        <w:rPr>
          <w:rFonts w:ascii="宋体" w:hAnsi="宋体" w:eastAsia="宋体" w:cs="宋体"/>
        </w:rPr>
      </w:pPr>
      <w:r>
        <w:rPr>
          <w:rFonts w:hint="eastAsia" w:ascii="宋体" w:hAnsi="宋体" w:eastAsia="宋体" w:cs="宋体"/>
          <w:b/>
        </w:rPr>
        <w:t>中标人须提供针对性操作手册。</w:t>
      </w:r>
      <w:r>
        <w:rPr>
          <w:rFonts w:hint="eastAsia" w:ascii="宋体" w:hAnsi="宋体" w:eastAsia="宋体" w:cs="宋体"/>
        </w:rPr>
        <w:t>必须提供针对本项目撰写的操作手册、简明操作指南的电子版和多份纸质版。不得以产品说明书替代操作手册；未经甲方允许，不得以通用操作手册替代针对性操作手册。</w:t>
      </w:r>
    </w:p>
    <w:p w14:paraId="51336FF1">
      <w:pPr>
        <w:pStyle w:val="22"/>
        <w:spacing w:line="300" w:lineRule="auto"/>
        <w:rPr>
          <w:rFonts w:ascii="宋体" w:hAnsi="宋体" w:eastAsia="宋体" w:cs="宋体"/>
        </w:rPr>
      </w:pPr>
      <w:r>
        <w:rPr>
          <w:rFonts w:hint="eastAsia" w:ascii="宋体" w:hAnsi="宋体" w:eastAsia="宋体" w:cs="宋体"/>
        </w:rPr>
        <w:t>5.人力资源</w:t>
      </w:r>
    </w:p>
    <w:p w14:paraId="5E23553C">
      <w:pPr>
        <w:spacing w:line="300" w:lineRule="auto"/>
        <w:ind w:firstLine="420" w:firstLineChars="200"/>
        <w:rPr>
          <w:rFonts w:ascii="宋体" w:hAnsi="宋体" w:eastAsia="宋体" w:cs="宋体"/>
        </w:rPr>
      </w:pPr>
      <w:r>
        <w:rPr>
          <w:rFonts w:hint="eastAsia" w:ascii="宋体" w:hAnsi="宋体" w:eastAsia="宋体" w:cs="宋体"/>
        </w:rPr>
        <w:t>如果项目需求中或投标响应中有驻场人员要求，则约定的人员数量只作为保底数量。合同执行过程中应当以项目达到建设目标所实际需求的人员数量随时无条件追加人员，直至达到项目建设目标。中途因人员数量不能满足项目需要而对甲方带来不利后果的，甲方可随时责令改正，甚至中止合同。</w:t>
      </w:r>
    </w:p>
    <w:p w14:paraId="145C4A20">
      <w:pPr>
        <w:spacing w:line="300" w:lineRule="auto"/>
        <w:ind w:firstLine="420" w:firstLineChars="200"/>
        <w:rPr>
          <w:rFonts w:ascii="宋体" w:hAnsi="宋体" w:eastAsia="宋体" w:cs="宋体"/>
        </w:rPr>
      </w:pPr>
      <w:r>
        <w:rPr>
          <w:rFonts w:hint="eastAsia" w:ascii="宋体" w:hAnsi="宋体" w:eastAsia="宋体" w:cs="宋体"/>
        </w:rPr>
        <w:t xml:space="preserve">项目经理必须为自有在册固定人员，合同生效一周内必须到岗，项目完成验收前非不可抗力不得中途更换，不得同时兼任其他项目的成员。 </w:t>
      </w:r>
    </w:p>
    <w:p w14:paraId="29CE4E13">
      <w:pPr>
        <w:spacing w:line="300" w:lineRule="auto"/>
        <w:ind w:firstLine="420" w:firstLineChars="200"/>
        <w:rPr>
          <w:rFonts w:ascii="宋体" w:hAnsi="宋体" w:eastAsia="宋体" w:cs="宋体"/>
        </w:rPr>
      </w:pPr>
      <w:bookmarkStart w:id="153" w:name="OLE_LINK24"/>
      <w:bookmarkStart w:id="154" w:name="OLE_LINK25"/>
      <w:r>
        <w:rPr>
          <w:rFonts w:hint="eastAsia" w:ascii="宋体" w:hAnsi="宋体" w:eastAsia="宋体" w:cs="宋体"/>
        </w:rPr>
        <w:t xml:space="preserve"> </w:t>
      </w:r>
      <w:bookmarkEnd w:id="153"/>
      <w:bookmarkEnd w:id="154"/>
      <w:r>
        <w:rPr>
          <w:rFonts w:hint="eastAsia" w:ascii="宋体" w:hAnsi="宋体" w:eastAsia="宋体" w:cs="宋体"/>
        </w:rPr>
        <w:t>驻场人员必须有相关专业知识，每天遵守学校作息或值班安排，特殊情况下随时响应，接受学校指派的相关工作任务并接受考核，乙方不得抽调或安排其他与校内无关的工作。</w:t>
      </w:r>
    </w:p>
    <w:p w14:paraId="37441DC0">
      <w:pPr>
        <w:pStyle w:val="22"/>
        <w:spacing w:line="300" w:lineRule="auto"/>
        <w:rPr>
          <w:rFonts w:ascii="宋体" w:hAnsi="宋体" w:eastAsia="宋体" w:cs="宋体"/>
        </w:rPr>
      </w:pPr>
      <w:r>
        <w:rPr>
          <w:rFonts w:hint="eastAsia" w:ascii="宋体" w:hAnsi="宋体" w:eastAsia="宋体" w:cs="宋体"/>
        </w:rPr>
        <w:t>6.切换要求</w:t>
      </w:r>
    </w:p>
    <w:p w14:paraId="4820D9D5">
      <w:pPr>
        <w:spacing w:line="300" w:lineRule="auto"/>
        <w:ind w:firstLine="420" w:firstLineChars="200"/>
        <w:rPr>
          <w:rFonts w:ascii="宋体" w:hAnsi="宋体" w:eastAsia="宋体" w:cs="宋体"/>
        </w:rPr>
      </w:pPr>
      <w:r>
        <w:rPr>
          <w:rFonts w:hint="eastAsia" w:ascii="宋体" w:hAnsi="宋体" w:eastAsia="宋体" w:cs="宋体"/>
        </w:rPr>
        <w:t>对校园网全局割接时，合工大官网工作时间内单次中断不允许超过5分钟，下班时段不允许超过半小时；其他业务系统工作时间内单次中断不允许超过半小时，下班时段不允许超过2小时。超出中断时间，招标人有权追究相应的责任。</w:t>
      </w:r>
    </w:p>
    <w:p w14:paraId="78749C7B">
      <w:pPr>
        <w:pStyle w:val="22"/>
        <w:spacing w:line="300" w:lineRule="auto"/>
        <w:rPr>
          <w:rFonts w:ascii="宋体" w:hAnsi="宋体" w:eastAsia="宋体" w:cs="宋体"/>
        </w:rPr>
      </w:pPr>
      <w:r>
        <w:rPr>
          <w:rFonts w:hint="eastAsia" w:ascii="宋体" w:hAnsi="宋体" w:eastAsia="宋体" w:cs="宋体"/>
        </w:rPr>
        <w:t>7.保修</w:t>
      </w:r>
    </w:p>
    <w:p w14:paraId="0274E1E4">
      <w:pPr>
        <w:spacing w:line="300" w:lineRule="auto"/>
        <w:ind w:firstLine="420" w:firstLineChars="200"/>
        <w:rPr>
          <w:rFonts w:ascii="宋体" w:hAnsi="宋体" w:eastAsia="宋体" w:cs="宋体"/>
        </w:rPr>
      </w:pPr>
      <w:r>
        <w:rPr>
          <w:rFonts w:hint="eastAsia" w:ascii="宋体" w:hAnsi="宋体" w:eastAsia="宋体" w:cs="宋体"/>
        </w:rPr>
        <w:t>要求包含：</w:t>
      </w:r>
    </w:p>
    <w:p w14:paraId="6E4C49A6">
      <w:pPr>
        <w:spacing w:line="300" w:lineRule="auto"/>
        <w:ind w:firstLine="420" w:firstLineChars="200"/>
        <w:rPr>
          <w:rFonts w:ascii="宋体" w:hAnsi="宋体" w:eastAsia="宋体" w:cs="宋体"/>
        </w:rPr>
      </w:pPr>
      <w:r>
        <w:rPr>
          <w:rFonts w:hint="eastAsia" w:ascii="宋体" w:hAnsi="宋体" w:eastAsia="宋体" w:cs="宋体"/>
        </w:rPr>
        <w:t>软件版本、各种升级库、预订业务的定制和修订、BUG消除、产品安全应急响应、业务流程的重新适配等相关服务终身免费；</w:t>
      </w:r>
    </w:p>
    <w:p w14:paraId="29A5982A">
      <w:pPr>
        <w:spacing w:line="300" w:lineRule="auto"/>
        <w:ind w:firstLine="420" w:firstLineChars="200"/>
        <w:rPr>
          <w:rFonts w:ascii="宋体" w:hAnsi="宋体" w:eastAsia="宋体" w:cs="宋体"/>
        </w:rPr>
      </w:pPr>
      <w:r>
        <w:rPr>
          <w:rFonts w:hint="eastAsia" w:ascii="宋体" w:hAnsi="宋体" w:eastAsia="宋体" w:cs="宋体"/>
        </w:rPr>
        <w:t xml:space="preserve">产品常年提供免费技术支持，所需零部件及配件常年以不高于本次投标价格供应；质保期内设备故障报修在2小时内响应，24个工作日内解决问题；核心设备故障1小时内响应，4小时内解决。 </w:t>
      </w:r>
    </w:p>
    <w:p w14:paraId="5CA01BD4">
      <w:pPr>
        <w:spacing w:line="300" w:lineRule="auto"/>
        <w:ind w:firstLine="420" w:firstLineChars="200"/>
        <w:rPr>
          <w:rFonts w:ascii="宋体" w:hAnsi="宋体" w:eastAsia="宋体" w:cs="宋体"/>
        </w:rPr>
      </w:pPr>
      <w:r>
        <w:rPr>
          <w:rFonts w:hint="eastAsia" w:ascii="宋体" w:hAnsi="宋体" w:eastAsia="宋体" w:cs="宋体"/>
        </w:rPr>
        <w:t>如果日后发现提供的设备功能或性能实际无法达到投标响应的指标，应当立即无条件提供可完全达标的全新设备进行替换；无法退换时必须按照采购价赔偿业主方损失；</w:t>
      </w:r>
    </w:p>
    <w:p w14:paraId="3C18B334">
      <w:pPr>
        <w:spacing w:line="300" w:lineRule="auto"/>
        <w:ind w:firstLine="420" w:firstLineChars="200"/>
        <w:rPr>
          <w:rFonts w:ascii="宋体" w:hAnsi="宋体" w:eastAsia="宋体" w:cs="宋体"/>
        </w:rPr>
      </w:pPr>
      <w:r>
        <w:rPr>
          <w:rFonts w:hint="eastAsia" w:ascii="宋体" w:hAnsi="宋体" w:eastAsia="宋体" w:cs="宋体"/>
        </w:rPr>
        <w:t>硬件终身维修维护，产品常年提供技术支持，所需零部件及配件常年平价供应。</w:t>
      </w:r>
    </w:p>
    <w:p w14:paraId="08526BF0">
      <w:pPr>
        <w:pStyle w:val="3"/>
        <w:keepNext w:val="0"/>
        <w:keepLines w:val="0"/>
        <w:spacing w:line="240" w:lineRule="auto"/>
        <w:ind w:left="900" w:hanging="900"/>
        <w:rPr>
          <w:rFonts w:ascii="宋体" w:hAnsi="宋体" w:eastAsia="宋体" w:cs="宋体"/>
          <w:kern w:val="44"/>
          <w:sz w:val="24"/>
          <w:szCs w:val="24"/>
        </w:rPr>
      </w:pPr>
      <w:bookmarkStart w:id="155" w:name="_Toc7412"/>
      <w:bookmarkStart w:id="156" w:name="_Toc13120"/>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5商誉要求</w:t>
      </w:r>
      <w:bookmarkEnd w:id="155"/>
      <w:bookmarkEnd w:id="156"/>
    </w:p>
    <w:p w14:paraId="168989E6">
      <w:pPr>
        <w:spacing w:line="300" w:lineRule="auto"/>
        <w:ind w:firstLine="420" w:firstLineChars="200"/>
        <w:jc w:val="left"/>
        <w:rPr>
          <w:rFonts w:ascii="宋体" w:hAnsi="宋体" w:eastAsia="宋体" w:cs="宋体"/>
        </w:rPr>
      </w:pPr>
      <w:r>
        <w:rPr>
          <w:rFonts w:hint="eastAsia" w:ascii="宋体" w:hAnsi="宋体" w:eastAsia="宋体" w:cs="宋体"/>
        </w:rPr>
        <w:t>投标人必须同意并遵守合肥工业大学《信息化合作单位负面清单管理办法》的规定（https://it.hfut.edu.cn/info/1150/2999.htm）。</w:t>
      </w:r>
    </w:p>
    <w:p w14:paraId="0D96E41C">
      <w:pPr>
        <w:pStyle w:val="3"/>
        <w:keepNext w:val="0"/>
        <w:keepLines w:val="0"/>
        <w:spacing w:line="240" w:lineRule="auto"/>
        <w:ind w:left="900" w:hanging="900"/>
        <w:rPr>
          <w:rFonts w:ascii="宋体" w:hAnsi="宋体" w:eastAsia="宋体" w:cs="宋体"/>
          <w:kern w:val="44"/>
          <w:sz w:val="24"/>
          <w:szCs w:val="24"/>
        </w:rPr>
      </w:pPr>
      <w:bookmarkStart w:id="157" w:name="_Toc70196816"/>
      <w:bookmarkStart w:id="158" w:name="_Toc5165"/>
      <w:bookmarkStart w:id="159" w:name="_Toc16177"/>
      <w:bookmarkStart w:id="160" w:name="_Toc30772"/>
      <w:bookmarkStart w:id="161" w:name="_Toc78273801"/>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6兼容对接</w:t>
      </w:r>
      <w:bookmarkEnd w:id="157"/>
      <w:r>
        <w:rPr>
          <w:rFonts w:hint="eastAsia" w:ascii="宋体" w:hAnsi="宋体" w:eastAsia="宋体" w:cs="宋体"/>
          <w:kern w:val="44"/>
          <w:sz w:val="24"/>
          <w:szCs w:val="24"/>
        </w:rPr>
        <w:t>要求</w:t>
      </w:r>
      <w:bookmarkEnd w:id="158"/>
      <w:bookmarkEnd w:id="159"/>
      <w:bookmarkEnd w:id="160"/>
      <w:bookmarkEnd w:id="161"/>
    </w:p>
    <w:p w14:paraId="00BCD7C7">
      <w:pPr>
        <w:pStyle w:val="22"/>
        <w:spacing w:line="300" w:lineRule="auto"/>
        <w:rPr>
          <w:rFonts w:ascii="宋体" w:hAnsi="宋体" w:eastAsia="宋体" w:cs="宋体"/>
        </w:rPr>
      </w:pPr>
      <w:r>
        <w:rPr>
          <w:rFonts w:hint="eastAsia" w:ascii="宋体" w:hAnsi="宋体" w:eastAsia="宋体" w:cs="宋体"/>
        </w:rPr>
        <w:t>1.整体可用</w:t>
      </w:r>
    </w:p>
    <w:p w14:paraId="7902AD4D">
      <w:pPr>
        <w:spacing w:line="300" w:lineRule="auto"/>
        <w:ind w:firstLine="420" w:firstLineChars="200"/>
        <w:rPr>
          <w:rFonts w:ascii="宋体" w:hAnsi="宋体" w:eastAsia="宋体" w:cs="宋体"/>
        </w:rPr>
      </w:pPr>
      <w:r>
        <w:rPr>
          <w:rFonts w:hint="eastAsia" w:ascii="宋体" w:hAnsi="宋体" w:eastAsia="宋体" w:cs="宋体"/>
        </w:rPr>
        <w:t>投标人所投方案必须满足项目总体技术框架要求。</w:t>
      </w:r>
    </w:p>
    <w:p w14:paraId="4AE87364">
      <w:pPr>
        <w:pStyle w:val="22"/>
        <w:spacing w:line="300" w:lineRule="auto"/>
        <w:rPr>
          <w:rFonts w:ascii="宋体" w:hAnsi="宋体" w:eastAsia="宋体" w:cs="宋体"/>
        </w:rPr>
      </w:pPr>
      <w:r>
        <w:rPr>
          <w:rFonts w:hint="eastAsia" w:ascii="宋体" w:hAnsi="宋体" w:eastAsia="宋体" w:cs="宋体"/>
        </w:rPr>
        <w:t>2.软件接口</w:t>
      </w:r>
    </w:p>
    <w:p w14:paraId="7158AC38">
      <w:pPr>
        <w:spacing w:line="300" w:lineRule="auto"/>
        <w:ind w:firstLine="420" w:firstLineChars="200"/>
        <w:rPr>
          <w:rFonts w:ascii="宋体" w:hAnsi="宋体" w:eastAsia="宋体" w:cs="宋体"/>
        </w:rPr>
      </w:pPr>
      <w:r>
        <w:rPr>
          <w:rFonts w:hint="eastAsia" w:ascii="宋体" w:hAnsi="宋体" w:eastAsia="宋体" w:cs="宋体"/>
        </w:rPr>
        <w:t>所有数据接口终身无条件免费向业主方的后续建设项目开放使用（包括但不限于业主方自用、业主方后续实施其他项目的对接需要等）；日后扩充点位时，提供免费接入授权且数量无限制；开放接口和授权的费用须包含在项目投标报价内。</w:t>
      </w:r>
    </w:p>
    <w:p w14:paraId="0D924C74">
      <w:pPr>
        <w:spacing w:line="300" w:lineRule="auto"/>
        <w:ind w:firstLine="420" w:firstLineChars="200"/>
        <w:rPr>
          <w:rFonts w:ascii="宋体" w:hAnsi="宋体" w:eastAsia="宋体" w:cs="宋体"/>
        </w:rPr>
      </w:pPr>
      <w:r>
        <w:rPr>
          <w:rFonts w:hint="eastAsia" w:ascii="宋体" w:hAnsi="宋体" w:eastAsia="宋体" w:cs="宋体"/>
        </w:rPr>
        <w:t>如果日后业主方其他项目需要与本项目对接时，中标方及相关供货商必须负责配合、协调、支持；如果对接协作过程中产生了除接口费之外的费用，必须按实际发生的工时、差旅费用等针对本项目对接工作而实际产生的费用据实结算（原则上不便精确计算情况下的协作收费每次不得超过人民币五千元）。对于甲方的特定需求，允许定制开发。开放接口和授权、定制开发等的费用须包含在报价内。如果不能支持配合，或索要不合理费用（由甲方认定是否合理），则将把责任方（当事集成商或供货商）列入负面清单，拒绝其日后参与其他项目。</w:t>
      </w:r>
    </w:p>
    <w:p w14:paraId="6DB150CD">
      <w:pPr>
        <w:pStyle w:val="22"/>
        <w:spacing w:line="300" w:lineRule="auto"/>
        <w:rPr>
          <w:rFonts w:ascii="宋体" w:hAnsi="宋体" w:eastAsia="宋体" w:cs="宋体"/>
        </w:rPr>
      </w:pPr>
      <w:r>
        <w:rPr>
          <w:rFonts w:hint="eastAsia" w:ascii="宋体" w:hAnsi="宋体" w:eastAsia="宋体" w:cs="宋体"/>
        </w:rPr>
        <w:t>3.数据规范</w:t>
      </w:r>
    </w:p>
    <w:p w14:paraId="56AE757A">
      <w:pPr>
        <w:spacing w:line="300" w:lineRule="auto"/>
        <w:ind w:firstLine="420" w:firstLineChars="200"/>
        <w:rPr>
          <w:rFonts w:ascii="宋体" w:hAnsi="宋体" w:eastAsia="宋体" w:cs="宋体"/>
        </w:rPr>
      </w:pPr>
      <w:r>
        <w:rPr>
          <w:rFonts w:hint="eastAsia" w:ascii="宋体" w:hAnsi="宋体" w:eastAsia="宋体" w:cs="宋体"/>
        </w:rPr>
        <w:t>所有的数据库建立、数据格式、各种功能定制等，均必须遵守业主方建设规划的要求，符合数据字典的规范，接受业主方的业务指导，充分考虑与现有的数据格式互通；所提供的方案严禁形成数据孤岛。</w:t>
      </w:r>
    </w:p>
    <w:p w14:paraId="305629D8">
      <w:pPr>
        <w:spacing w:line="300" w:lineRule="auto"/>
        <w:ind w:firstLine="420" w:firstLineChars="200"/>
        <w:rPr>
          <w:rFonts w:ascii="宋体" w:hAnsi="宋体" w:eastAsia="宋体" w:cs="宋体"/>
        </w:rPr>
      </w:pPr>
      <w:r>
        <w:rPr>
          <w:rFonts w:hint="eastAsia" w:ascii="宋体" w:hAnsi="宋体" w:eastAsia="宋体" w:cs="宋体"/>
        </w:rPr>
        <w:t>要求按照业主方需求实现与现有信息化相关子系统或数据的对接，并完全承担与第三方对接合作的费用。</w:t>
      </w:r>
    </w:p>
    <w:p w14:paraId="5C41C4B0">
      <w:pPr>
        <w:pStyle w:val="22"/>
        <w:spacing w:line="300" w:lineRule="auto"/>
        <w:rPr>
          <w:rFonts w:ascii="宋体" w:hAnsi="宋体" w:eastAsia="宋体" w:cs="宋体"/>
        </w:rPr>
      </w:pPr>
      <w:r>
        <w:rPr>
          <w:rFonts w:hint="eastAsia" w:ascii="宋体" w:hAnsi="宋体" w:eastAsia="宋体" w:cs="宋体"/>
        </w:rPr>
        <w:t>4.通用器件</w:t>
      </w:r>
    </w:p>
    <w:p w14:paraId="10317AE9">
      <w:pPr>
        <w:spacing w:line="300" w:lineRule="auto"/>
        <w:ind w:firstLine="420" w:firstLineChars="200"/>
        <w:rPr>
          <w:rFonts w:ascii="宋体" w:hAnsi="宋体" w:eastAsia="宋体" w:cs="宋体"/>
        </w:rPr>
      </w:pPr>
      <w:r>
        <w:rPr>
          <w:rFonts w:hint="eastAsia" w:ascii="宋体" w:hAnsi="宋体" w:eastAsia="宋体" w:cs="宋体"/>
        </w:rPr>
        <w:t>通用器件（如光模块、算力卡、硬盘等非自行生产或OEM第三方的器件），必须支持即插即用式替换，并且设备性能不降低、满足使用需求，不得设置技术障碍（如设置私有协议、建立私有硬件接口等）或服务歧视政策（如用户采用第三方通用器件后拒绝售后服务等）；如果存在因技术需要必须个性化定制的器件，投标响应时必须书面说明并取得业主方认可。</w:t>
      </w:r>
    </w:p>
    <w:p w14:paraId="791ECDA8">
      <w:pPr>
        <w:pStyle w:val="3"/>
        <w:keepNext w:val="0"/>
        <w:keepLines w:val="0"/>
        <w:spacing w:line="240" w:lineRule="auto"/>
        <w:ind w:left="900" w:hanging="900"/>
        <w:rPr>
          <w:rFonts w:ascii="宋体" w:hAnsi="宋体" w:eastAsia="宋体" w:cs="宋体"/>
          <w:kern w:val="44"/>
          <w:sz w:val="24"/>
          <w:szCs w:val="24"/>
        </w:rPr>
      </w:pPr>
      <w:bookmarkStart w:id="162" w:name="_Toc9289"/>
      <w:bookmarkStart w:id="163" w:name="_Toc15062"/>
      <w:bookmarkStart w:id="164" w:name="_Toc12069"/>
      <w:bookmarkStart w:id="165" w:name="_Toc70196817"/>
      <w:bookmarkStart w:id="166" w:name="_Toc78273802"/>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7安全合规要求</w:t>
      </w:r>
      <w:bookmarkEnd w:id="162"/>
      <w:bookmarkEnd w:id="163"/>
      <w:bookmarkEnd w:id="164"/>
      <w:bookmarkEnd w:id="165"/>
      <w:bookmarkEnd w:id="166"/>
    </w:p>
    <w:p w14:paraId="0B750EA5">
      <w:pPr>
        <w:pStyle w:val="22"/>
        <w:spacing w:line="300" w:lineRule="auto"/>
        <w:rPr>
          <w:rFonts w:ascii="宋体" w:hAnsi="宋体" w:eastAsia="宋体" w:cs="宋体"/>
        </w:rPr>
      </w:pPr>
      <w:r>
        <w:rPr>
          <w:rFonts w:hint="eastAsia" w:ascii="宋体" w:hAnsi="宋体" w:eastAsia="宋体" w:cs="宋体"/>
        </w:rPr>
        <w:t>1.投标即视为愿意承担对业主方项目相关内容的保密义务，包括但不限于对系统架构、部署情况、数据、策略、参数等的保密义务，即使未另行签订保密协议，只要参与本项目投标，即视为承建商负责承担安全与保密责任；</w:t>
      </w:r>
    </w:p>
    <w:p w14:paraId="5E7D47A2">
      <w:pPr>
        <w:pStyle w:val="22"/>
        <w:spacing w:line="300" w:lineRule="auto"/>
        <w:rPr>
          <w:rFonts w:ascii="宋体" w:hAnsi="宋体" w:eastAsia="宋体" w:cs="宋体"/>
        </w:rPr>
      </w:pPr>
      <w:r>
        <w:rPr>
          <w:rFonts w:hint="eastAsia" w:ascii="宋体" w:hAnsi="宋体" w:eastAsia="宋体" w:cs="宋体"/>
        </w:rPr>
        <w:t>2.规范操作用户方数据，不得越权或越界操作；未经授权不得查询、获取、存储、传输用户方数据，不得向第三方泄露用户方数据；</w:t>
      </w:r>
    </w:p>
    <w:p w14:paraId="18C289C6">
      <w:pPr>
        <w:pStyle w:val="22"/>
        <w:spacing w:line="300" w:lineRule="auto"/>
        <w:rPr>
          <w:rFonts w:ascii="宋体" w:hAnsi="宋体" w:eastAsia="宋体" w:cs="宋体"/>
        </w:rPr>
      </w:pPr>
      <w:r>
        <w:rPr>
          <w:rFonts w:hint="eastAsia" w:ascii="宋体" w:hAnsi="宋体" w:eastAsia="宋体" w:cs="宋体"/>
        </w:rPr>
        <w:t>3.根据等保的最新相关政策与要求，配合业主方完成有等保测评需要的项目的主要系统的等级保护定级与测评；</w:t>
      </w:r>
    </w:p>
    <w:p w14:paraId="7CB0EFFD">
      <w:pPr>
        <w:pStyle w:val="22"/>
        <w:spacing w:line="300" w:lineRule="auto"/>
        <w:rPr>
          <w:rFonts w:ascii="宋体" w:hAnsi="宋体" w:eastAsia="宋体" w:cs="宋体"/>
        </w:rPr>
      </w:pPr>
      <w:r>
        <w:rPr>
          <w:rFonts w:hint="eastAsia" w:ascii="宋体" w:hAnsi="宋体" w:eastAsia="宋体" w:cs="宋体"/>
        </w:rPr>
        <w:t>4.需要操作系统或软件支持的设备必须随硬件免费提供正版操作系统及软件。系统中使用的软件产品或组件必须符合国家有关知识产权的相关法律法规；投标方保证知识产权的合法性并承担可能侵权的责任。</w:t>
      </w:r>
    </w:p>
    <w:p w14:paraId="76E38375">
      <w:pPr>
        <w:pStyle w:val="22"/>
        <w:spacing w:line="300" w:lineRule="auto"/>
        <w:rPr>
          <w:rFonts w:ascii="宋体" w:hAnsi="宋体" w:eastAsia="宋体" w:cs="宋体"/>
        </w:rPr>
      </w:pPr>
      <w:r>
        <w:rPr>
          <w:rFonts w:hint="eastAsia" w:ascii="宋体" w:hAnsi="宋体" w:eastAsia="宋体" w:cs="宋体"/>
        </w:rPr>
        <w:t>5.乙方负责施工和服务全过程的场地保护、成品保护、劳动保护及人员安全，针对车辆、设备、人员等必须购买相应的保险。</w:t>
      </w:r>
    </w:p>
    <w:p w14:paraId="3E147C1F">
      <w:pPr>
        <w:pStyle w:val="22"/>
        <w:spacing w:line="300" w:lineRule="auto"/>
        <w:rPr>
          <w:rFonts w:ascii="宋体" w:hAnsi="宋体" w:eastAsia="宋体" w:cs="宋体"/>
        </w:rPr>
      </w:pPr>
      <w:r>
        <w:rPr>
          <w:rFonts w:hint="eastAsia" w:ascii="宋体" w:hAnsi="宋体" w:eastAsia="宋体" w:cs="宋体"/>
        </w:rPr>
        <w:t>6.严格遵守业主方、行业及政府的安全生产等相关管理规定。</w:t>
      </w:r>
    </w:p>
    <w:p w14:paraId="76783A68">
      <w:pPr>
        <w:pStyle w:val="4"/>
        <w:keepNext w:val="0"/>
        <w:keepLines w:val="0"/>
        <w:spacing w:line="25" w:lineRule="atLeast"/>
        <w:ind w:left="420" w:hanging="420"/>
        <w:rPr>
          <w:rFonts w:ascii="宋体" w:hAnsi="宋体" w:eastAsia="宋体" w:cs="宋体"/>
          <w:kern w:val="44"/>
          <w:sz w:val="24"/>
          <w:szCs w:val="24"/>
        </w:rPr>
      </w:pPr>
      <w:bookmarkStart w:id="167" w:name="_Toc78273803"/>
      <w:bookmarkStart w:id="168" w:name="_Toc888"/>
      <w:bookmarkStart w:id="169" w:name="_Toc32702"/>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8安全文明施工管理</w:t>
      </w:r>
      <w:bookmarkEnd w:id="167"/>
      <w:bookmarkEnd w:id="168"/>
      <w:bookmarkEnd w:id="169"/>
    </w:p>
    <w:p w14:paraId="53A5780D">
      <w:pPr>
        <w:spacing w:line="300" w:lineRule="auto"/>
        <w:rPr>
          <w:rFonts w:ascii="宋体" w:hAnsi="宋体" w:eastAsia="宋体" w:cs="宋体"/>
        </w:rPr>
      </w:pPr>
      <w:r>
        <w:rPr>
          <w:rFonts w:hint="eastAsia" w:ascii="宋体" w:hAnsi="宋体" w:eastAsia="宋体" w:cs="宋体"/>
        </w:rPr>
        <w:t>承建方必须严格遵守甲方各项管理规定，并确保督促其协作单位遵守：</w:t>
      </w:r>
    </w:p>
    <w:p w14:paraId="35457E65">
      <w:pPr>
        <w:pStyle w:val="22"/>
        <w:spacing w:line="300" w:lineRule="auto"/>
        <w:rPr>
          <w:rFonts w:ascii="宋体" w:hAnsi="宋体" w:eastAsia="宋体" w:cs="宋体"/>
          <w:color w:val="000000"/>
        </w:rPr>
      </w:pPr>
      <w:r>
        <w:rPr>
          <w:rFonts w:hint="eastAsia" w:ascii="宋体" w:hAnsi="宋体" w:eastAsia="宋体" w:cs="宋体"/>
          <w:color w:val="000000"/>
        </w:rPr>
        <w:t>1.严格按照劳动法相关规定用工。</w:t>
      </w:r>
      <w:r>
        <w:rPr>
          <w:rFonts w:hint="eastAsia" w:ascii="宋体" w:hAnsi="宋体" w:eastAsia="宋体" w:cs="宋体"/>
        </w:rPr>
        <w:t>严格遵守国家有关安全生产管理的相关规定、承建单位的施工现场管理规定和管理办法。</w:t>
      </w:r>
    </w:p>
    <w:p w14:paraId="24A0904D">
      <w:pPr>
        <w:pStyle w:val="22"/>
        <w:spacing w:line="300" w:lineRule="auto"/>
        <w:jc w:val="left"/>
        <w:rPr>
          <w:rFonts w:ascii="宋体" w:hAnsi="宋体" w:eastAsia="宋体" w:cs="宋体"/>
        </w:rPr>
      </w:pPr>
      <w:r>
        <w:rPr>
          <w:rFonts w:hint="eastAsia" w:ascii="宋体" w:hAnsi="宋体" w:eastAsia="宋体" w:cs="宋体"/>
        </w:rPr>
        <w:t>2.承建商为项目安全责任主体，承担项目施工的安全责任；现场经理为现场安全责任人，全面负责实施、管理、监督项目安全事宜。</w:t>
      </w:r>
    </w:p>
    <w:p w14:paraId="01395DE1">
      <w:pPr>
        <w:pStyle w:val="22"/>
        <w:spacing w:line="300" w:lineRule="auto"/>
        <w:jc w:val="left"/>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rPr>
        <w:t>施工人员应该佩戴胸牌上岗，进出要亮明身份，服从物业、安保工作人员的监督、管理。对于身份不明人员，应即时查证、驱逐。</w:t>
      </w:r>
    </w:p>
    <w:p w14:paraId="6B57E473">
      <w:pPr>
        <w:pStyle w:val="22"/>
        <w:spacing w:line="300" w:lineRule="auto"/>
        <w:jc w:val="left"/>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rPr>
        <w:t>人身安全大于一切。对于用电、用水、用车、高位作业、风险区域作业等，施工单位要有具体的安全防范措施，提供安全帽等各种劳保器材和安全防护装备，并对现场人员进行安全培训。</w:t>
      </w:r>
    </w:p>
    <w:p w14:paraId="2BF2694D">
      <w:pPr>
        <w:pStyle w:val="22"/>
        <w:spacing w:line="300" w:lineRule="auto"/>
        <w:jc w:val="left"/>
        <w:rPr>
          <w:rFonts w:ascii="宋体" w:hAnsi="宋体" w:eastAsia="宋体" w:cs="宋体"/>
          <w:color w:val="000000"/>
        </w:rPr>
      </w:pPr>
      <w:r>
        <w:rPr>
          <w:rFonts w:hint="eastAsia" w:ascii="宋体" w:hAnsi="宋体" w:eastAsia="宋体" w:cs="宋体"/>
          <w:color w:val="000000"/>
        </w:rPr>
        <w:t>5.</w:t>
      </w:r>
      <w:r>
        <w:rPr>
          <w:rFonts w:hint="eastAsia" w:ascii="宋体" w:hAnsi="宋体" w:eastAsia="宋体" w:cs="宋体"/>
        </w:rPr>
        <w:t>危险场所或危险施工流程，严禁单人作业，必须二人或以上小组合理配合，严防触电、坠落及其他意外事件发生。</w:t>
      </w:r>
    </w:p>
    <w:p w14:paraId="5FF0C7E9">
      <w:pPr>
        <w:pStyle w:val="22"/>
        <w:spacing w:line="300" w:lineRule="auto"/>
        <w:jc w:val="left"/>
        <w:rPr>
          <w:rFonts w:ascii="宋体" w:hAnsi="宋体" w:eastAsia="宋体" w:cs="宋体"/>
        </w:rPr>
      </w:pPr>
      <w:r>
        <w:rPr>
          <w:rFonts w:hint="eastAsia" w:ascii="宋体" w:hAnsi="宋体" w:eastAsia="宋体" w:cs="宋体"/>
        </w:rPr>
        <w:t>6.遵守国家劳动管理相关要求，高温、严寒、台风等天气各单位需自行做好防暑降温、防寒或防灾等工作。</w:t>
      </w:r>
    </w:p>
    <w:p w14:paraId="7CC7B465">
      <w:pPr>
        <w:pStyle w:val="22"/>
        <w:spacing w:line="300" w:lineRule="auto"/>
        <w:jc w:val="left"/>
        <w:rPr>
          <w:rFonts w:ascii="宋体" w:hAnsi="宋体" w:eastAsia="宋体" w:cs="宋体"/>
        </w:rPr>
      </w:pPr>
      <w:r>
        <w:rPr>
          <w:rFonts w:hint="eastAsia" w:ascii="宋体" w:hAnsi="宋体" w:eastAsia="宋体" w:cs="宋体"/>
        </w:rPr>
        <w:t>7.注重对现有设施的保护，施工过程中要避免破坏、干扰现有设施；确因施工需要，必须改变现有设施时，需征得业主同意并采取合理施工方案，事后需恢复原状。</w:t>
      </w:r>
    </w:p>
    <w:p w14:paraId="75D951EB">
      <w:pPr>
        <w:pStyle w:val="22"/>
        <w:spacing w:line="300" w:lineRule="auto"/>
        <w:jc w:val="left"/>
        <w:rPr>
          <w:rFonts w:ascii="宋体" w:hAnsi="宋体" w:eastAsia="宋体" w:cs="宋体"/>
        </w:rPr>
      </w:pPr>
      <w:r>
        <w:rPr>
          <w:rFonts w:hint="eastAsia" w:ascii="宋体" w:hAnsi="宋体" w:eastAsia="宋体" w:cs="宋体"/>
        </w:rPr>
        <w:t>8.控制粉尘、噪音、污染物、震动等的污染及破坏，严禁材料不规范堆放，严禁随意遗弃废料，垃圾应当按规定及时清运到合规场所。</w:t>
      </w:r>
    </w:p>
    <w:p w14:paraId="1D485A7A">
      <w:pPr>
        <w:pStyle w:val="4"/>
        <w:keepNext w:val="0"/>
        <w:keepLines w:val="0"/>
        <w:spacing w:line="25" w:lineRule="atLeast"/>
        <w:ind w:left="420" w:hanging="420"/>
        <w:rPr>
          <w:rFonts w:ascii="宋体" w:hAnsi="宋体" w:eastAsia="宋体" w:cs="宋体"/>
          <w:kern w:val="44"/>
          <w:sz w:val="24"/>
          <w:szCs w:val="24"/>
        </w:rPr>
      </w:pPr>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9包装运输及存储要求</w:t>
      </w:r>
    </w:p>
    <w:p w14:paraId="5239B571">
      <w:pPr>
        <w:spacing w:line="300" w:lineRule="auto"/>
        <w:ind w:firstLine="420" w:firstLineChars="200"/>
        <w:rPr>
          <w:rFonts w:ascii="宋体" w:hAnsi="宋体" w:eastAsia="宋体" w:cs="宋体"/>
        </w:rPr>
      </w:pPr>
      <w:r>
        <w:rPr>
          <w:rFonts w:hint="eastAsia" w:ascii="宋体" w:hAnsi="宋体" w:eastAsia="宋体" w:cs="宋体"/>
        </w:rPr>
        <w:t>投标人所供货物的制造商原装出厂包装箱号与设备出厂批号一致。</w:t>
      </w:r>
    </w:p>
    <w:p w14:paraId="3AD27A6C">
      <w:pPr>
        <w:spacing w:line="300" w:lineRule="auto"/>
        <w:ind w:firstLine="420" w:firstLineChars="200"/>
        <w:rPr>
          <w:rFonts w:ascii="宋体" w:hAnsi="宋体" w:eastAsia="宋体" w:cs="宋体"/>
        </w:rPr>
      </w:pPr>
      <w:r>
        <w:rPr>
          <w:rFonts w:hint="eastAsia" w:ascii="宋体" w:hAnsi="宋体" w:eastAsia="宋体" w:cs="宋体"/>
        </w:rPr>
        <w:t>投标人所供货物必须运输到业主方指定的位置并按要求妥善存放。</w:t>
      </w:r>
    </w:p>
    <w:p w14:paraId="317F5EB5">
      <w:pPr>
        <w:spacing w:line="300" w:lineRule="auto"/>
        <w:ind w:firstLine="420" w:firstLineChars="200"/>
        <w:rPr>
          <w:rFonts w:ascii="宋体" w:hAnsi="宋体" w:eastAsia="宋体" w:cs="宋体"/>
        </w:rPr>
      </w:pPr>
      <w:r>
        <w:rPr>
          <w:rFonts w:hint="eastAsia" w:ascii="宋体" w:hAnsi="宋体" w:eastAsia="宋体" w:cs="宋体"/>
        </w:rPr>
        <w:t>包装必须与运输方式相适应，包装方式的确定及包装费用均由投标人负责，由于不适当的包装而造成货物在运输过程中有任何损坏、丢失由投标人负责。</w:t>
      </w:r>
    </w:p>
    <w:p w14:paraId="106708D7">
      <w:pPr>
        <w:spacing w:line="300" w:lineRule="auto"/>
        <w:ind w:firstLine="420" w:firstLineChars="200"/>
        <w:rPr>
          <w:rFonts w:ascii="宋体" w:hAnsi="宋体" w:eastAsia="宋体" w:cs="宋体"/>
        </w:rPr>
      </w:pPr>
      <w:r>
        <w:rPr>
          <w:rFonts w:hint="eastAsia" w:ascii="宋体" w:hAnsi="宋体" w:eastAsia="宋体" w:cs="宋体"/>
        </w:rPr>
        <w:t>项目验收前，承建方需要负责所有项目现场物料的存储管理。验收前如果发生损毁或灭失，损失由乙方负责。</w:t>
      </w:r>
    </w:p>
    <w:p w14:paraId="4A7DCFF4">
      <w:pPr>
        <w:pStyle w:val="4"/>
        <w:keepNext w:val="0"/>
        <w:keepLines w:val="0"/>
        <w:spacing w:line="25" w:lineRule="atLeast"/>
        <w:ind w:left="420" w:hanging="420"/>
        <w:rPr>
          <w:rFonts w:ascii="宋体" w:hAnsi="宋体" w:eastAsia="宋体" w:cs="宋体"/>
          <w:kern w:val="44"/>
          <w:sz w:val="24"/>
          <w:szCs w:val="24"/>
        </w:rPr>
      </w:pPr>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10免费质保</w:t>
      </w:r>
    </w:p>
    <w:p w14:paraId="499305A4">
      <w:pPr>
        <w:spacing w:line="300" w:lineRule="auto"/>
        <w:ind w:firstLine="420" w:firstLineChars="200"/>
        <w:rPr>
          <w:rFonts w:ascii="宋体" w:hAnsi="宋体" w:eastAsia="宋体" w:cs="宋体"/>
        </w:rPr>
      </w:pPr>
      <w:r>
        <w:rPr>
          <w:rFonts w:hint="eastAsia" w:ascii="宋体" w:hAnsi="宋体" w:eastAsia="宋体" w:cs="宋体"/>
          <w:bCs/>
        </w:rPr>
        <w:t>所有设备默认均提供不少于5年的原厂免费质保服务。</w:t>
      </w:r>
    </w:p>
    <w:p w14:paraId="5A702142">
      <w:pPr>
        <w:spacing w:line="300" w:lineRule="auto"/>
        <w:ind w:firstLine="420" w:firstLineChars="200"/>
        <w:rPr>
          <w:rFonts w:ascii="宋体" w:hAnsi="宋体" w:eastAsia="宋体" w:cs="宋体"/>
        </w:rPr>
      </w:pPr>
      <w:r>
        <w:rPr>
          <w:rFonts w:hint="eastAsia" w:ascii="宋体" w:hAnsi="宋体" w:eastAsia="宋体" w:cs="宋体"/>
        </w:rPr>
        <w:t>质保时间自每包验收合格之日起计算，质保期内免费提供预订业务的定制和修订、各种产品知识库（含病毒、木马等各种特征库）的更新服务、产品安全应急响应、业务流程的重新适配等相关服务。</w:t>
      </w:r>
    </w:p>
    <w:p w14:paraId="2DEAB78D">
      <w:pPr>
        <w:spacing w:line="300" w:lineRule="auto"/>
        <w:ind w:firstLine="482"/>
        <w:rPr>
          <w:rFonts w:ascii="宋体" w:hAnsi="宋体" w:eastAsia="宋体" w:cs="宋体"/>
        </w:rPr>
      </w:pPr>
      <w:r>
        <w:rPr>
          <w:rFonts w:hint="eastAsia" w:ascii="宋体" w:hAnsi="宋体" w:eastAsia="宋体" w:cs="宋体"/>
          <w:b/>
        </w:rPr>
        <w:t>免费提供质保期内的BUG及安全漏洞消除、提</w:t>
      </w:r>
      <w:r>
        <w:rPr>
          <w:rFonts w:hint="eastAsia" w:ascii="宋体" w:hAnsi="宋体" w:eastAsia="宋体" w:cs="宋体"/>
          <w:b/>
          <w:bCs/>
        </w:rPr>
        <w:t>供相关库（包含但不限于病毒库（</w:t>
      </w:r>
      <w:r>
        <w:rPr>
          <w:rFonts w:hint="eastAsia" w:ascii="宋体" w:hAnsi="宋体" w:eastAsia="宋体"/>
          <w:b/>
          <w:bCs/>
          <w:szCs w:val="21"/>
          <w:lang w:bidi="ar"/>
        </w:rPr>
        <w:t>IPS、AV、URL</w:t>
      </w:r>
      <w:r>
        <w:rPr>
          <w:rFonts w:hint="eastAsia" w:ascii="宋体" w:hAnsi="宋体" w:eastAsia="宋体" w:cs="宋体"/>
          <w:b/>
          <w:bCs/>
        </w:rPr>
        <w:t>）、各种安全特征库等）、新软件版本的升级与服务（提供由生产商提供核心平台及主要模块组件后续更新升级服务的承诺函，所需成本须纳入报价内）</w:t>
      </w:r>
      <w:r>
        <w:rPr>
          <w:rFonts w:hint="eastAsia" w:ascii="宋体" w:hAnsi="宋体" w:eastAsia="宋体" w:cs="宋体"/>
        </w:rPr>
        <w:t>。</w:t>
      </w:r>
    </w:p>
    <w:p w14:paraId="049A3D04">
      <w:pPr>
        <w:spacing w:line="300" w:lineRule="auto"/>
        <w:ind w:firstLine="422" w:firstLineChars="200"/>
        <w:rPr>
          <w:rFonts w:ascii="宋体" w:hAnsi="宋体" w:eastAsia="宋体" w:cs="宋体"/>
        </w:rPr>
      </w:pPr>
      <w:r>
        <w:rPr>
          <w:rFonts w:hint="eastAsia" w:ascii="宋体" w:hAnsi="宋体" w:eastAsia="宋体" w:cs="宋体"/>
          <w:b/>
          <w:bCs/>
        </w:rPr>
        <w:t>免费原厂服务必须在签订合同前提供设备原生产厂商的承诺函原件和相关升级服务的厂方承诺函原件，</w:t>
      </w:r>
      <w:r>
        <w:rPr>
          <w:rFonts w:hint="eastAsia" w:ascii="宋体" w:hAnsi="宋体" w:eastAsia="宋体" w:cs="宋体"/>
        </w:rPr>
        <w:t>否则视为虚假响应且甲方有权拒绝签订合同，并按照合肥工业大学《信息化合作单位负面清单管理办法》和《合肥工业大学供应商管理暂行办法》进行管理。</w:t>
      </w:r>
    </w:p>
    <w:p w14:paraId="5CD44B29">
      <w:pPr>
        <w:pStyle w:val="4"/>
        <w:keepNext w:val="0"/>
        <w:keepLines w:val="0"/>
        <w:spacing w:line="25" w:lineRule="atLeast"/>
        <w:ind w:left="420" w:hanging="420"/>
        <w:rPr>
          <w:rFonts w:ascii="宋体" w:hAnsi="宋体" w:eastAsia="宋体" w:cs="宋体"/>
          <w:kern w:val="44"/>
          <w:sz w:val="24"/>
          <w:szCs w:val="24"/>
        </w:rPr>
      </w:pPr>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hint="eastAsia" w:ascii="宋体" w:hAnsi="宋体" w:eastAsia="宋体" w:cs="宋体"/>
          <w:kern w:val="44"/>
          <w:sz w:val="24"/>
          <w:szCs w:val="24"/>
        </w:rPr>
        <w:t>11验收要求</w:t>
      </w:r>
    </w:p>
    <w:p w14:paraId="338726F5">
      <w:pPr>
        <w:spacing w:line="300" w:lineRule="auto"/>
        <w:ind w:firstLine="420" w:firstLineChars="200"/>
        <w:rPr>
          <w:rFonts w:ascii="宋体" w:hAnsi="宋体" w:eastAsia="宋体" w:cs="宋体"/>
        </w:rPr>
      </w:pPr>
      <w:r>
        <w:rPr>
          <w:rFonts w:hint="eastAsia" w:ascii="宋体" w:hAnsi="宋体" w:eastAsia="宋体" w:cs="宋体"/>
        </w:rPr>
        <w:t>项目必须进行初步验收和最终验收。完成最终验收是项目结算的前提和必要条件，未完成最终验收前不提前结算付款。</w:t>
      </w:r>
    </w:p>
    <w:p w14:paraId="274A8161">
      <w:pPr>
        <w:pStyle w:val="22"/>
        <w:spacing w:line="300" w:lineRule="auto"/>
        <w:ind w:firstLine="422"/>
        <w:rPr>
          <w:rFonts w:ascii="宋体" w:hAnsi="宋体" w:eastAsia="宋体" w:cs="宋体"/>
          <w:b/>
          <w:bCs/>
        </w:rPr>
      </w:pPr>
      <w:r>
        <w:rPr>
          <w:rFonts w:hint="eastAsia" w:ascii="宋体" w:hAnsi="宋体" w:eastAsia="宋体" w:cs="宋体"/>
          <w:b/>
          <w:bCs/>
        </w:rPr>
        <w:t>1.初步验收</w:t>
      </w:r>
    </w:p>
    <w:p w14:paraId="4C14D022">
      <w:pPr>
        <w:spacing w:line="300" w:lineRule="auto"/>
        <w:ind w:firstLine="420" w:firstLineChars="200"/>
        <w:rPr>
          <w:rFonts w:ascii="宋体" w:hAnsi="宋体" w:eastAsia="宋体" w:cs="宋体"/>
        </w:rPr>
      </w:pPr>
      <w:r>
        <w:rPr>
          <w:rFonts w:hint="eastAsia" w:ascii="宋体" w:hAnsi="宋体" w:eastAsia="宋体" w:cs="宋体"/>
        </w:rPr>
        <w:t>最终验收前必须通过初步验收流程。初步验收由使用单位在用户现场自主进行，主要标志为所有货物到货且数量、规格均相符，基础平台搭建完成，主要设备安装到位，主要功能初步开通。</w:t>
      </w:r>
    </w:p>
    <w:p w14:paraId="7932E062">
      <w:pPr>
        <w:spacing w:line="300" w:lineRule="auto"/>
        <w:ind w:firstLine="420" w:firstLineChars="200"/>
        <w:rPr>
          <w:rFonts w:ascii="宋体" w:hAnsi="宋体" w:eastAsia="宋体" w:cs="宋体"/>
        </w:rPr>
      </w:pPr>
      <w:r>
        <w:rPr>
          <w:rFonts w:hint="eastAsia" w:ascii="宋体" w:hAnsi="宋体" w:eastAsia="宋体" w:cs="宋体"/>
        </w:rPr>
        <w:t>初步验收包含项目实施中途的抽查，主要有：由业主方随机发起的现场固定施工人员的社保是否与投标文件的承诺相符、是否有非投标方的其他公司人员参与（不包括第三方临时性协作人员）；隐蔽工程或关键部位、关键流程、关键部件、关键参数、服务品质是否存在在投标承诺基础上缩水等。业主方有权要求中标人限期整改，如果不能按期整改到位，或者发现问题时已经形成后果而无法完成整改，将按转包和虚假响应上报学校有关部门采取处罚措施且不得通过初步验收和最终验收，必要时甲方可以无条件中止合同、追究责任，由此可能引起其他标包中标人损失的，由过错方承担相关责任。</w:t>
      </w:r>
    </w:p>
    <w:p w14:paraId="2928ED39">
      <w:pPr>
        <w:spacing w:line="300" w:lineRule="auto"/>
        <w:ind w:firstLine="420" w:firstLineChars="200"/>
        <w:rPr>
          <w:rFonts w:ascii="宋体" w:hAnsi="宋体" w:eastAsia="宋体" w:cs="宋体"/>
        </w:rPr>
      </w:pPr>
      <w:r>
        <w:rPr>
          <w:rFonts w:hint="eastAsia" w:ascii="宋体" w:hAnsi="宋体" w:eastAsia="宋体" w:cs="宋体"/>
        </w:rPr>
        <w:t>完成初步验收后由用户部门出具初步验收报告。必须获得5份（含）以上一线用户（原则上必须覆盖技术人员、教工用户、学生用户且留有有效的联系方式）的使用情况报告，且报告结论为“满意”或“基本满意”（其中“基本满意”数量不得超过2份）、无遗留问题或有遗留问题但迅速整改到位并有“整改结果报告”和“整改验收”报告，由部门领导或分管领导签字确认。承建方或供货商的自测项目完成（如自行测试的各项任务，要求提供测试记录等过程文件）。</w:t>
      </w:r>
    </w:p>
    <w:p w14:paraId="0DC665F1">
      <w:pPr>
        <w:spacing w:line="300" w:lineRule="auto"/>
        <w:ind w:firstLine="420" w:firstLineChars="200"/>
        <w:rPr>
          <w:rFonts w:ascii="宋体" w:hAnsi="宋体" w:eastAsia="宋体" w:cs="宋体"/>
        </w:rPr>
      </w:pPr>
      <w:r>
        <w:rPr>
          <w:rFonts w:hint="eastAsia" w:ascii="宋体" w:hAnsi="宋体" w:eastAsia="宋体" w:cs="宋体"/>
        </w:rPr>
        <w:t>提供驻场人员的，初验时须查验人员情况，必须考勤达标（除非另有约定，按法定工作时间考勤），人员身份与投标响应相符；正式验收前可再次查验驻场人员考勤达标情况并核实人员身份。</w:t>
      </w:r>
    </w:p>
    <w:p w14:paraId="145B4855">
      <w:pPr>
        <w:spacing w:line="300" w:lineRule="auto"/>
        <w:ind w:firstLine="420" w:firstLineChars="200"/>
        <w:rPr>
          <w:rFonts w:ascii="宋体" w:hAnsi="宋体" w:eastAsia="宋体" w:cs="宋体"/>
        </w:rPr>
      </w:pPr>
      <w:r>
        <w:rPr>
          <w:rFonts w:hint="eastAsia" w:ascii="宋体" w:hAnsi="宋体" w:eastAsia="宋体" w:cs="宋体"/>
        </w:rPr>
        <w:t>项目进入维保服务期间的考核验收，至少每半年查验一次驻场人员考勤达标情况并现场核实人员身份。</w:t>
      </w:r>
    </w:p>
    <w:p w14:paraId="3EB299D0">
      <w:pPr>
        <w:spacing w:line="300" w:lineRule="auto"/>
        <w:ind w:firstLine="420" w:firstLineChars="200"/>
        <w:rPr>
          <w:rFonts w:ascii="宋体" w:hAnsi="宋体" w:eastAsia="宋体" w:cs="宋体"/>
        </w:rPr>
      </w:pPr>
      <w:r>
        <w:rPr>
          <w:rFonts w:hint="eastAsia" w:ascii="宋体" w:hAnsi="宋体" w:eastAsia="宋体" w:cs="宋体"/>
        </w:rPr>
        <w:t>如果项目实施存在第三方协同需求，或承建方、供货商自身成为第三方的，必须完成协作任务后方可验收。如果因第三方原因导致延迟验收，则投标方必须承担相应损失。</w:t>
      </w:r>
    </w:p>
    <w:p w14:paraId="7ACB76BB">
      <w:pPr>
        <w:pStyle w:val="22"/>
        <w:spacing w:line="300" w:lineRule="auto"/>
        <w:ind w:firstLine="422"/>
        <w:rPr>
          <w:rFonts w:ascii="宋体" w:hAnsi="宋体" w:eastAsia="宋体" w:cs="宋体"/>
          <w:b/>
          <w:bCs/>
        </w:rPr>
      </w:pPr>
      <w:r>
        <w:rPr>
          <w:rFonts w:hint="eastAsia" w:ascii="宋体" w:hAnsi="宋体" w:eastAsia="宋体" w:cs="宋体"/>
          <w:b/>
          <w:bCs/>
        </w:rPr>
        <w:t>2.最终验收</w:t>
      </w:r>
    </w:p>
    <w:p w14:paraId="72A51F13">
      <w:pPr>
        <w:spacing w:line="300" w:lineRule="auto"/>
        <w:ind w:firstLine="420" w:firstLineChars="200"/>
        <w:rPr>
          <w:rFonts w:ascii="宋体" w:hAnsi="宋体" w:eastAsia="宋体" w:cs="宋体"/>
        </w:rPr>
      </w:pPr>
      <w:r>
        <w:rPr>
          <w:rFonts w:hint="eastAsia" w:ascii="宋体" w:hAnsi="宋体" w:eastAsia="宋体" w:cs="宋体"/>
        </w:rPr>
        <w:t>最终验收原则上须在完成初步验收、试运行满两个月后进行。如因投标方未能达到验收条件，则进行整改，直至满足终验要求后方可组织终验。</w:t>
      </w:r>
    </w:p>
    <w:p w14:paraId="0F274BAD">
      <w:pPr>
        <w:spacing w:line="300" w:lineRule="auto"/>
        <w:ind w:firstLine="420" w:firstLineChars="200"/>
        <w:rPr>
          <w:rFonts w:ascii="宋体" w:hAnsi="宋体" w:eastAsia="宋体" w:cs="宋体"/>
        </w:rPr>
      </w:pPr>
      <w:r>
        <w:rPr>
          <w:rFonts w:hint="eastAsia" w:ascii="宋体" w:hAnsi="宋体" w:eastAsia="宋体" w:cs="宋体"/>
        </w:rPr>
        <w:t>验收时对于招标文件中有关建设目标的描述、同时发布的技术规范性文件的相关要求等，均必须以实质性功能实现作为最终响应。不能达到建设目标的，无论参数项响应情况如何，均视为实质性不响应，不得通过终验。</w:t>
      </w:r>
    </w:p>
    <w:p w14:paraId="13FA8F63">
      <w:pPr>
        <w:spacing w:line="300" w:lineRule="auto"/>
        <w:ind w:firstLine="482"/>
        <w:rPr>
          <w:rFonts w:ascii="宋体" w:hAnsi="宋体" w:eastAsia="宋体" w:cs="宋体"/>
          <w:b/>
          <w:bCs/>
        </w:rPr>
      </w:pPr>
      <w:r>
        <w:rPr>
          <w:rFonts w:hint="eastAsia" w:ascii="宋体" w:hAnsi="宋体" w:eastAsia="宋体" w:cs="宋体"/>
          <w:b/>
          <w:bCs/>
        </w:rPr>
        <w:t>最终验收流程</w:t>
      </w:r>
    </w:p>
    <w:p w14:paraId="1CE68967">
      <w:pPr>
        <w:spacing w:line="300" w:lineRule="auto"/>
        <w:ind w:firstLine="420" w:firstLineChars="200"/>
        <w:rPr>
          <w:rFonts w:ascii="宋体" w:hAnsi="宋体" w:eastAsia="宋体" w:cs="宋体"/>
        </w:rPr>
      </w:pPr>
      <w:r>
        <w:rPr>
          <w:rFonts w:hint="eastAsia" w:ascii="宋体" w:hAnsi="宋体" w:eastAsia="宋体" w:cs="宋体"/>
        </w:rPr>
        <w:t>由业主方组织验收小组，根据学校官方网站公布的最新版本的《合肥工业大学“系统综合集成”建设项目验收实施细则》（https://it.hfut.edu.cn/info/1150/1898.htm）的流程展开验收。</w:t>
      </w:r>
    </w:p>
    <w:p w14:paraId="42A65660">
      <w:pPr>
        <w:spacing w:line="300" w:lineRule="auto"/>
        <w:ind w:firstLine="420" w:firstLineChars="200"/>
        <w:rPr>
          <w:rFonts w:ascii="宋体" w:hAnsi="宋体" w:eastAsia="宋体" w:cs="宋体"/>
        </w:rPr>
      </w:pPr>
      <w:r>
        <w:rPr>
          <w:rFonts w:hint="eastAsia" w:ascii="宋体" w:hAnsi="宋体" w:eastAsia="宋体" w:cs="宋体"/>
        </w:rPr>
        <w:t>本项目的《最终验收基本条件清单》（见下表）为验收的基本、必备内容但并非唯一内容，完成清单的内容为申请验收的前提条件，具体到不同项目还应当合理补充相应的必须内容。验收时对照清单进行，验收小组及验收专家可随时另行增设验收考察条目（项目需求中如不涉及的条目可忽略）。</w:t>
      </w:r>
    </w:p>
    <w:p w14:paraId="0680682E">
      <w:pPr>
        <w:spacing w:line="300" w:lineRule="auto"/>
        <w:contextualSpacing/>
        <w:jc w:val="center"/>
        <w:rPr>
          <w:rFonts w:ascii="宋体" w:hAnsi="宋体" w:eastAsia="宋体" w:cs="宋体"/>
          <w:b/>
          <w:bCs/>
        </w:rPr>
      </w:pPr>
      <w:r>
        <w:rPr>
          <w:rFonts w:hint="eastAsia" w:ascii="宋体" w:hAnsi="宋体" w:eastAsia="宋体" w:cs="宋体"/>
          <w:b/>
          <w:bCs/>
        </w:rPr>
        <w:t>最终验收基本条件清单</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319"/>
        <w:gridCol w:w="7726"/>
      </w:tblGrid>
      <w:tr w14:paraId="481E31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0" w:type="pct"/>
            <w:shd w:val="clear" w:color="auto" w:fill="auto"/>
            <w:vAlign w:val="center"/>
          </w:tcPr>
          <w:p w14:paraId="21DD3D78">
            <w:pPr>
              <w:spacing w:line="300" w:lineRule="auto"/>
              <w:jc w:val="center"/>
              <w:rPr>
                <w:rFonts w:ascii="宋体" w:hAnsi="宋体" w:eastAsia="宋体"/>
                <w:b/>
                <w:bCs/>
              </w:rPr>
            </w:pPr>
            <w:r>
              <w:rPr>
                <w:rFonts w:hint="eastAsia" w:ascii="宋体" w:hAnsi="宋体" w:eastAsia="宋体"/>
                <w:b/>
                <w:bCs/>
              </w:rPr>
              <w:t>序号</w:t>
            </w:r>
          </w:p>
        </w:tc>
        <w:tc>
          <w:tcPr>
            <w:tcW w:w="662" w:type="pct"/>
            <w:shd w:val="clear" w:color="auto" w:fill="auto"/>
            <w:vAlign w:val="center"/>
          </w:tcPr>
          <w:p w14:paraId="2ECA15EF">
            <w:pPr>
              <w:spacing w:line="300" w:lineRule="auto"/>
              <w:jc w:val="center"/>
              <w:rPr>
                <w:rFonts w:ascii="宋体" w:hAnsi="宋体" w:eastAsia="宋体"/>
                <w:b/>
                <w:bCs/>
              </w:rPr>
            </w:pPr>
            <w:r>
              <w:rPr>
                <w:rFonts w:hint="eastAsia" w:ascii="宋体" w:hAnsi="宋体" w:eastAsia="宋体"/>
                <w:b/>
                <w:bCs/>
              </w:rPr>
              <w:t>验收项</w:t>
            </w:r>
          </w:p>
        </w:tc>
        <w:tc>
          <w:tcPr>
            <w:tcW w:w="3876" w:type="pct"/>
            <w:shd w:val="clear" w:color="auto" w:fill="auto"/>
            <w:vAlign w:val="center"/>
          </w:tcPr>
          <w:p w14:paraId="2E0B8C58">
            <w:pPr>
              <w:spacing w:line="300" w:lineRule="auto"/>
              <w:jc w:val="center"/>
              <w:rPr>
                <w:rFonts w:ascii="宋体" w:hAnsi="宋体" w:eastAsia="宋体"/>
                <w:b/>
                <w:bCs/>
              </w:rPr>
            </w:pPr>
            <w:r>
              <w:rPr>
                <w:rFonts w:hint="eastAsia" w:ascii="宋体" w:hAnsi="宋体" w:eastAsia="宋体"/>
                <w:b/>
                <w:bCs/>
              </w:rPr>
              <w:t>验收明细</w:t>
            </w:r>
          </w:p>
        </w:tc>
      </w:tr>
      <w:tr w14:paraId="7C8891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48C1CE4B">
            <w:pPr>
              <w:spacing w:line="300" w:lineRule="auto"/>
              <w:jc w:val="center"/>
              <w:rPr>
                <w:rFonts w:ascii="宋体" w:hAnsi="宋体" w:eastAsia="宋体"/>
              </w:rPr>
            </w:pPr>
            <w:r>
              <w:rPr>
                <w:rFonts w:hint="eastAsia" w:ascii="宋体" w:hAnsi="宋体" w:eastAsia="宋体"/>
              </w:rPr>
              <w:t>1</w:t>
            </w:r>
          </w:p>
        </w:tc>
        <w:tc>
          <w:tcPr>
            <w:tcW w:w="662" w:type="pct"/>
            <w:shd w:val="clear" w:color="auto" w:fill="auto"/>
            <w:vAlign w:val="center"/>
          </w:tcPr>
          <w:p w14:paraId="4F7BFEA6">
            <w:pPr>
              <w:spacing w:line="300" w:lineRule="auto"/>
              <w:jc w:val="left"/>
              <w:rPr>
                <w:rFonts w:ascii="宋体" w:hAnsi="宋体" w:eastAsia="宋体"/>
              </w:rPr>
            </w:pPr>
            <w:r>
              <w:rPr>
                <w:rFonts w:hint="eastAsia" w:ascii="宋体" w:hAnsi="宋体" w:eastAsia="宋体"/>
              </w:rPr>
              <w:t>前置条件</w:t>
            </w:r>
          </w:p>
        </w:tc>
        <w:tc>
          <w:tcPr>
            <w:tcW w:w="3876" w:type="pct"/>
            <w:shd w:val="clear" w:color="auto" w:fill="auto"/>
            <w:vAlign w:val="center"/>
          </w:tcPr>
          <w:p w14:paraId="33EF910F">
            <w:pPr>
              <w:spacing w:line="300" w:lineRule="auto"/>
              <w:jc w:val="left"/>
              <w:rPr>
                <w:rFonts w:ascii="宋体" w:hAnsi="宋体" w:eastAsia="宋体"/>
              </w:rPr>
            </w:pPr>
            <w:r>
              <w:rPr>
                <w:rFonts w:hint="eastAsia" w:ascii="宋体" w:hAnsi="宋体" w:eastAsia="宋体"/>
              </w:rPr>
              <w:t>以下需同时满足：</w:t>
            </w:r>
          </w:p>
          <w:p w14:paraId="375292F4">
            <w:pPr>
              <w:spacing w:line="300" w:lineRule="auto"/>
              <w:jc w:val="left"/>
              <w:rPr>
                <w:rFonts w:ascii="宋体" w:hAnsi="宋体" w:eastAsia="宋体" w:cstheme="minorBidi"/>
                <w:szCs w:val="24"/>
              </w:rPr>
            </w:pPr>
            <w:r>
              <w:rPr>
                <w:rFonts w:hint="eastAsia" w:ascii="宋体" w:hAnsi="宋体" w:eastAsia="宋体"/>
              </w:rPr>
              <w:t>1．项</w:t>
            </w:r>
            <w:r>
              <w:rPr>
                <w:rFonts w:hint="eastAsia" w:ascii="宋体" w:hAnsi="宋体" w:eastAsia="宋体" w:cstheme="minorBidi"/>
                <w:szCs w:val="24"/>
              </w:rPr>
              <w:t>目单个标包所有主要功能都实现，不存在兼容对接问题，完成初步验收并合格；</w:t>
            </w:r>
          </w:p>
          <w:p w14:paraId="3B32A996">
            <w:pPr>
              <w:pStyle w:val="11"/>
              <w:spacing w:line="300" w:lineRule="auto"/>
              <w:ind w:firstLine="0"/>
              <w:jc w:val="left"/>
              <w:rPr>
                <w:rFonts w:ascii="宋体" w:hAnsi="宋体" w:eastAsia="宋体" w:cstheme="minorBidi"/>
                <w:kern w:val="2"/>
                <w:sz w:val="21"/>
                <w:szCs w:val="24"/>
              </w:rPr>
            </w:pPr>
            <w:r>
              <w:rPr>
                <w:rFonts w:hint="eastAsia" w:ascii="宋体" w:hAnsi="宋体" w:eastAsia="宋体" w:cstheme="minorBidi"/>
                <w:kern w:val="2"/>
                <w:sz w:val="21"/>
                <w:szCs w:val="24"/>
              </w:rPr>
              <w:t>2．项目单个</w:t>
            </w:r>
            <w:r>
              <w:rPr>
                <w:rFonts w:ascii="宋体" w:hAnsi="宋体" w:eastAsia="宋体" w:cstheme="minorBidi"/>
                <w:kern w:val="2"/>
                <w:sz w:val="21"/>
                <w:szCs w:val="24"/>
              </w:rPr>
              <w:t>标包由甲方认定达到最终验收条件时，由甲方组织对单个标包进行最终验收，</w:t>
            </w:r>
            <w:r>
              <w:rPr>
                <w:rFonts w:hint="eastAsia" w:ascii="宋体" w:hAnsi="宋体" w:eastAsia="宋体" w:cstheme="minorBidi"/>
                <w:kern w:val="2"/>
                <w:sz w:val="21"/>
                <w:szCs w:val="24"/>
              </w:rPr>
              <w:t>原则上不单独对某台设备、某个系统进行验收；</w:t>
            </w:r>
          </w:p>
          <w:p w14:paraId="7C747592">
            <w:pPr>
              <w:pStyle w:val="11"/>
              <w:spacing w:line="300" w:lineRule="auto"/>
              <w:ind w:firstLine="0"/>
              <w:jc w:val="left"/>
              <w:rPr>
                <w:rFonts w:ascii="宋体" w:hAnsi="宋体" w:eastAsia="宋体"/>
              </w:rPr>
            </w:pPr>
            <w:r>
              <w:rPr>
                <w:rFonts w:hint="eastAsia" w:ascii="宋体" w:hAnsi="宋体" w:eastAsia="宋体" w:cstheme="minorBidi"/>
                <w:kern w:val="2"/>
                <w:sz w:val="21"/>
                <w:szCs w:val="24"/>
              </w:rPr>
              <w:t>3．如果存在变更、延期，则变更内容必须都符合验收条件，延期内容必须经业主方书面批准。</w:t>
            </w:r>
          </w:p>
        </w:tc>
      </w:tr>
      <w:tr w14:paraId="6A3C5B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21C3494F">
            <w:pPr>
              <w:spacing w:line="300" w:lineRule="auto"/>
              <w:jc w:val="center"/>
              <w:rPr>
                <w:rFonts w:ascii="宋体" w:hAnsi="宋体" w:eastAsia="宋体"/>
              </w:rPr>
            </w:pPr>
            <w:r>
              <w:rPr>
                <w:rFonts w:hint="eastAsia" w:ascii="宋体" w:hAnsi="宋体" w:eastAsia="宋体"/>
              </w:rPr>
              <w:t>2</w:t>
            </w:r>
          </w:p>
        </w:tc>
        <w:tc>
          <w:tcPr>
            <w:tcW w:w="662" w:type="pct"/>
            <w:shd w:val="clear" w:color="auto" w:fill="auto"/>
            <w:vAlign w:val="center"/>
          </w:tcPr>
          <w:p w14:paraId="41B97857">
            <w:pPr>
              <w:spacing w:line="300" w:lineRule="auto"/>
              <w:jc w:val="left"/>
              <w:rPr>
                <w:rFonts w:ascii="宋体" w:hAnsi="宋体" w:eastAsia="宋体"/>
              </w:rPr>
            </w:pPr>
            <w:r>
              <w:rPr>
                <w:rFonts w:hint="eastAsia" w:ascii="宋体" w:hAnsi="宋体" w:eastAsia="宋体"/>
              </w:rPr>
              <w:t>硬件设备验收</w:t>
            </w:r>
          </w:p>
        </w:tc>
        <w:tc>
          <w:tcPr>
            <w:tcW w:w="3876" w:type="pct"/>
            <w:shd w:val="clear" w:color="auto" w:fill="auto"/>
            <w:vAlign w:val="center"/>
          </w:tcPr>
          <w:p w14:paraId="653392F7">
            <w:pPr>
              <w:spacing w:line="300" w:lineRule="auto"/>
              <w:jc w:val="left"/>
              <w:rPr>
                <w:rFonts w:ascii="宋体" w:hAnsi="宋体" w:eastAsia="宋体"/>
              </w:rPr>
            </w:pPr>
            <w:r>
              <w:rPr>
                <w:rFonts w:hint="eastAsia" w:ascii="宋体" w:hAnsi="宋体" w:eastAsia="宋体"/>
              </w:rPr>
              <w:t>设备品牌、型号是否与合同一致；</w:t>
            </w:r>
          </w:p>
          <w:p w14:paraId="1C1CA4E6">
            <w:pPr>
              <w:pStyle w:val="22"/>
              <w:spacing w:line="300" w:lineRule="auto"/>
              <w:ind w:firstLine="0" w:firstLineChars="0"/>
              <w:jc w:val="left"/>
              <w:rPr>
                <w:rFonts w:ascii="宋体" w:hAnsi="宋体" w:eastAsia="宋体"/>
              </w:rPr>
            </w:pPr>
            <w:r>
              <w:rPr>
                <w:rFonts w:ascii="宋体" w:hAnsi="宋体" w:eastAsia="宋体"/>
              </w:rPr>
              <w:t>1.</w:t>
            </w:r>
            <w:r>
              <w:rPr>
                <w:rFonts w:hint="eastAsia" w:ascii="宋体" w:hAnsi="宋体" w:eastAsia="宋体"/>
              </w:rPr>
              <w:t>设备数量正确；</w:t>
            </w:r>
          </w:p>
          <w:p w14:paraId="085AE407">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设备安装位置符合设计要求；</w:t>
            </w:r>
          </w:p>
          <w:p w14:paraId="22BAA363">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设备运行正常，性能指标符合要求；</w:t>
            </w:r>
          </w:p>
          <w:p w14:paraId="4D233982">
            <w:pPr>
              <w:pStyle w:val="22"/>
              <w:spacing w:line="300" w:lineRule="auto"/>
              <w:ind w:firstLine="0" w:firstLineChars="0"/>
              <w:jc w:val="left"/>
              <w:rPr>
                <w:rFonts w:ascii="宋体" w:hAnsi="宋体" w:eastAsia="宋体"/>
              </w:rPr>
            </w:pPr>
            <w:r>
              <w:rPr>
                <w:rFonts w:ascii="宋体" w:hAnsi="宋体" w:eastAsia="宋体"/>
              </w:rPr>
              <w:t>4.</w:t>
            </w:r>
            <w:r>
              <w:rPr>
                <w:rFonts w:hint="eastAsia" w:ascii="宋体" w:hAnsi="宋体" w:eastAsia="宋体"/>
              </w:rPr>
              <w:t>设备附带软件和工具齐全；</w:t>
            </w:r>
          </w:p>
          <w:p w14:paraId="4AE3F4F0">
            <w:pPr>
              <w:pStyle w:val="22"/>
              <w:spacing w:line="300" w:lineRule="auto"/>
              <w:ind w:firstLine="0" w:firstLineChars="0"/>
              <w:jc w:val="left"/>
              <w:rPr>
                <w:rFonts w:ascii="宋体" w:hAnsi="宋体" w:eastAsia="宋体"/>
              </w:rPr>
            </w:pPr>
            <w:r>
              <w:rPr>
                <w:rFonts w:ascii="宋体" w:hAnsi="宋体" w:eastAsia="宋体"/>
              </w:rPr>
              <w:t>5.</w:t>
            </w:r>
            <w:r>
              <w:rPr>
                <w:rFonts w:hint="eastAsia" w:ascii="宋体" w:hAnsi="宋体" w:eastAsia="宋体"/>
              </w:rPr>
              <w:t>配套的技术资料、说明书、正版授权或承诺函等齐全；</w:t>
            </w:r>
          </w:p>
          <w:p w14:paraId="281A0B65">
            <w:pPr>
              <w:pStyle w:val="22"/>
              <w:spacing w:line="300" w:lineRule="auto"/>
              <w:ind w:firstLine="0" w:firstLineChars="0"/>
              <w:jc w:val="left"/>
              <w:rPr>
                <w:rFonts w:ascii="宋体" w:hAnsi="宋体" w:eastAsia="宋体"/>
              </w:rPr>
            </w:pPr>
            <w:r>
              <w:rPr>
                <w:rFonts w:ascii="宋体" w:hAnsi="宋体" w:eastAsia="宋体"/>
              </w:rPr>
              <w:t>6.基础网络开通、设备接入统一网管平台并能可视化操作；网络架构、管理策略优化、迁移完成；</w:t>
            </w:r>
          </w:p>
          <w:p w14:paraId="0BE554B5">
            <w:pPr>
              <w:pStyle w:val="22"/>
              <w:spacing w:line="300" w:lineRule="auto"/>
              <w:ind w:firstLine="0" w:firstLineChars="0"/>
              <w:jc w:val="left"/>
              <w:rPr>
                <w:rFonts w:ascii="宋体" w:hAnsi="宋体" w:eastAsia="宋体"/>
              </w:rPr>
            </w:pPr>
            <w:r>
              <w:rPr>
                <w:rFonts w:ascii="宋体" w:hAnsi="宋体" w:eastAsia="宋体"/>
              </w:rPr>
              <w:t>7.技术培训完成，技术人员、维保人员就位，要求或承诺的备品备件如数运抵现场；</w:t>
            </w:r>
          </w:p>
          <w:p w14:paraId="6560D537">
            <w:pPr>
              <w:pStyle w:val="22"/>
              <w:spacing w:line="300" w:lineRule="auto"/>
              <w:ind w:firstLine="0" w:firstLineChars="0"/>
              <w:jc w:val="left"/>
              <w:rPr>
                <w:rFonts w:ascii="宋体" w:hAnsi="宋体" w:eastAsia="宋体"/>
              </w:rPr>
            </w:pPr>
            <w:r>
              <w:rPr>
                <w:rFonts w:ascii="宋体" w:hAnsi="宋体" w:eastAsia="宋体"/>
              </w:rPr>
              <w:t>8.安全渗透测试完成</w:t>
            </w:r>
            <w:r>
              <w:rPr>
                <w:rFonts w:hint="eastAsia" w:ascii="宋体" w:hAnsi="宋体" w:eastAsia="宋体"/>
              </w:rPr>
              <w:t>（仅适用于对安全渗透有要求的场景）。</w:t>
            </w:r>
          </w:p>
          <w:p w14:paraId="1C79F56B">
            <w:pPr>
              <w:pStyle w:val="22"/>
              <w:spacing w:line="300" w:lineRule="auto"/>
              <w:ind w:firstLine="0" w:firstLineChars="0"/>
              <w:jc w:val="left"/>
              <w:rPr>
                <w:rFonts w:ascii="宋体" w:hAnsi="宋体" w:eastAsia="宋体"/>
              </w:rPr>
            </w:pPr>
            <w:r>
              <w:rPr>
                <w:rFonts w:hint="eastAsia" w:ascii="宋体" w:hAnsi="宋体" w:eastAsia="宋体"/>
              </w:rPr>
              <w:t>注：如果甲方原因导致客观上</w:t>
            </w:r>
            <w:r>
              <w:rPr>
                <w:rFonts w:ascii="宋体" w:hAnsi="宋体" w:eastAsia="宋体"/>
              </w:rPr>
              <w:t>暂不具备安装条件，经业主建设部门同意，可继续后续流程但承建商必须书面承诺当条件具备时随时负责安装调试</w:t>
            </w:r>
            <w:r>
              <w:rPr>
                <w:rFonts w:hint="eastAsia" w:ascii="宋体" w:hAnsi="宋体" w:eastAsia="宋体"/>
              </w:rPr>
              <w:t>，此时可等同视为该项安装已完成。</w:t>
            </w:r>
          </w:p>
        </w:tc>
      </w:tr>
      <w:tr w14:paraId="4EC8A5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4BD913C0">
            <w:pPr>
              <w:spacing w:line="300" w:lineRule="auto"/>
              <w:jc w:val="center"/>
              <w:rPr>
                <w:rFonts w:ascii="宋体" w:hAnsi="宋体" w:eastAsia="宋体"/>
              </w:rPr>
            </w:pPr>
            <w:r>
              <w:rPr>
                <w:rFonts w:hint="eastAsia" w:ascii="宋体" w:hAnsi="宋体" w:eastAsia="宋体"/>
              </w:rPr>
              <w:t>3</w:t>
            </w:r>
          </w:p>
        </w:tc>
        <w:tc>
          <w:tcPr>
            <w:tcW w:w="662" w:type="pct"/>
            <w:shd w:val="clear" w:color="auto" w:fill="auto"/>
            <w:vAlign w:val="center"/>
          </w:tcPr>
          <w:p w14:paraId="0629DF99">
            <w:pPr>
              <w:spacing w:line="300" w:lineRule="auto"/>
              <w:jc w:val="left"/>
              <w:rPr>
                <w:rFonts w:ascii="宋体" w:hAnsi="宋体" w:eastAsia="宋体"/>
              </w:rPr>
            </w:pPr>
            <w:r>
              <w:rPr>
                <w:rFonts w:hint="eastAsia" w:ascii="宋体" w:hAnsi="宋体" w:eastAsia="宋体"/>
              </w:rPr>
              <w:t>软件系统验收</w:t>
            </w:r>
          </w:p>
        </w:tc>
        <w:tc>
          <w:tcPr>
            <w:tcW w:w="3876" w:type="pct"/>
            <w:shd w:val="clear" w:color="auto" w:fill="auto"/>
            <w:vAlign w:val="center"/>
          </w:tcPr>
          <w:p w14:paraId="1DBB7A7B">
            <w:pPr>
              <w:pStyle w:val="22"/>
              <w:spacing w:line="300" w:lineRule="auto"/>
              <w:ind w:firstLine="0" w:firstLineChars="0"/>
              <w:jc w:val="left"/>
              <w:rPr>
                <w:rFonts w:ascii="宋体" w:hAnsi="宋体" w:eastAsia="宋体"/>
              </w:rPr>
            </w:pPr>
            <w:r>
              <w:rPr>
                <w:rFonts w:ascii="宋体" w:hAnsi="宋体" w:eastAsia="宋体"/>
              </w:rPr>
              <w:t>1.软件平台部署完成，关键数据库建成，各计算模组建成；</w:t>
            </w:r>
          </w:p>
          <w:p w14:paraId="39B9F5B6">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软件版本和类型符合合同要求；</w:t>
            </w:r>
          </w:p>
          <w:p w14:paraId="7ED04712">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软件安装、配置和调试完成；</w:t>
            </w:r>
          </w:p>
          <w:p w14:paraId="3E506FA8">
            <w:pPr>
              <w:pStyle w:val="22"/>
              <w:spacing w:line="300" w:lineRule="auto"/>
              <w:ind w:firstLine="0" w:firstLineChars="0"/>
              <w:jc w:val="left"/>
              <w:rPr>
                <w:rFonts w:ascii="宋体" w:hAnsi="宋体" w:eastAsia="宋体"/>
              </w:rPr>
            </w:pPr>
            <w:r>
              <w:rPr>
                <w:rFonts w:ascii="宋体" w:hAnsi="宋体" w:eastAsia="宋体"/>
              </w:rPr>
              <w:t>4.</w:t>
            </w:r>
            <w:r>
              <w:rPr>
                <w:rFonts w:hint="eastAsia" w:ascii="宋体" w:hAnsi="宋体" w:eastAsia="宋体"/>
              </w:rPr>
              <w:t>软件功能满足需求；</w:t>
            </w:r>
          </w:p>
          <w:p w14:paraId="33400FF2">
            <w:pPr>
              <w:pStyle w:val="22"/>
              <w:spacing w:line="300" w:lineRule="auto"/>
              <w:ind w:firstLine="0" w:firstLineChars="0"/>
              <w:jc w:val="left"/>
              <w:rPr>
                <w:rFonts w:ascii="宋体" w:hAnsi="宋体" w:eastAsia="宋体"/>
              </w:rPr>
            </w:pPr>
            <w:r>
              <w:rPr>
                <w:rFonts w:ascii="宋体" w:hAnsi="宋体" w:eastAsia="宋体"/>
              </w:rPr>
              <w:t>5.</w:t>
            </w:r>
            <w:r>
              <w:rPr>
                <w:rFonts w:hint="eastAsia" w:ascii="宋体" w:hAnsi="宋体" w:eastAsia="宋体"/>
              </w:rPr>
              <w:t>软件性能测试报告；</w:t>
            </w:r>
          </w:p>
          <w:p w14:paraId="7B455A03">
            <w:pPr>
              <w:pStyle w:val="22"/>
              <w:spacing w:line="300" w:lineRule="auto"/>
              <w:ind w:firstLine="0" w:firstLineChars="0"/>
              <w:jc w:val="left"/>
              <w:rPr>
                <w:rFonts w:ascii="宋体" w:hAnsi="宋体" w:eastAsia="宋体"/>
              </w:rPr>
            </w:pPr>
            <w:r>
              <w:rPr>
                <w:rFonts w:ascii="宋体" w:hAnsi="宋体" w:eastAsia="宋体"/>
              </w:rPr>
              <w:t>6.</w:t>
            </w:r>
            <w:r>
              <w:rPr>
                <w:rFonts w:hint="eastAsia" w:ascii="宋体" w:hAnsi="宋体" w:eastAsia="宋体"/>
              </w:rPr>
              <w:t>软件安全性测试报告；</w:t>
            </w:r>
          </w:p>
          <w:p w14:paraId="15230B0D">
            <w:pPr>
              <w:pStyle w:val="22"/>
              <w:spacing w:line="300" w:lineRule="auto"/>
              <w:ind w:firstLine="0" w:firstLineChars="0"/>
              <w:jc w:val="left"/>
              <w:rPr>
                <w:rFonts w:ascii="宋体" w:hAnsi="宋体" w:eastAsia="宋体"/>
              </w:rPr>
            </w:pPr>
            <w:r>
              <w:rPr>
                <w:rFonts w:ascii="宋体" w:hAnsi="宋体" w:eastAsia="宋体"/>
              </w:rPr>
              <w:t>7.</w:t>
            </w:r>
            <w:r>
              <w:rPr>
                <w:rFonts w:hint="eastAsia" w:ascii="宋体" w:hAnsi="宋体" w:eastAsia="宋体"/>
              </w:rPr>
              <w:t>源代码和文档齐全（如适用）。</w:t>
            </w:r>
          </w:p>
        </w:tc>
      </w:tr>
      <w:tr w14:paraId="778F931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38B1CBA2">
            <w:pPr>
              <w:spacing w:line="300" w:lineRule="auto"/>
              <w:jc w:val="center"/>
              <w:rPr>
                <w:rFonts w:ascii="宋体" w:hAnsi="宋体" w:eastAsia="宋体"/>
              </w:rPr>
            </w:pPr>
            <w:r>
              <w:rPr>
                <w:rFonts w:hint="eastAsia" w:ascii="宋体" w:hAnsi="宋体" w:eastAsia="宋体"/>
              </w:rPr>
              <w:t>4</w:t>
            </w:r>
          </w:p>
        </w:tc>
        <w:tc>
          <w:tcPr>
            <w:tcW w:w="662" w:type="pct"/>
            <w:shd w:val="clear" w:color="auto" w:fill="auto"/>
            <w:vAlign w:val="center"/>
          </w:tcPr>
          <w:p w14:paraId="3AE24966">
            <w:pPr>
              <w:spacing w:line="300" w:lineRule="auto"/>
              <w:jc w:val="left"/>
              <w:rPr>
                <w:rFonts w:ascii="宋体" w:hAnsi="宋体" w:eastAsia="宋体"/>
              </w:rPr>
            </w:pPr>
            <w:r>
              <w:rPr>
                <w:rFonts w:hint="eastAsia" w:ascii="宋体" w:hAnsi="宋体" w:eastAsia="宋体"/>
              </w:rPr>
              <w:t>系统功能验收</w:t>
            </w:r>
          </w:p>
        </w:tc>
        <w:tc>
          <w:tcPr>
            <w:tcW w:w="3876" w:type="pct"/>
            <w:shd w:val="clear" w:color="auto" w:fill="auto"/>
            <w:vAlign w:val="center"/>
          </w:tcPr>
          <w:p w14:paraId="495F26EC">
            <w:pPr>
              <w:pStyle w:val="22"/>
              <w:spacing w:line="300" w:lineRule="auto"/>
              <w:ind w:firstLine="0" w:firstLineChars="0"/>
              <w:jc w:val="left"/>
              <w:rPr>
                <w:rFonts w:ascii="宋体" w:hAnsi="宋体" w:eastAsia="宋体"/>
              </w:rPr>
            </w:pPr>
            <w:r>
              <w:rPr>
                <w:rFonts w:ascii="宋体" w:hAnsi="宋体" w:eastAsia="宋体"/>
              </w:rPr>
              <w:t>1.</w:t>
            </w:r>
            <w:r>
              <w:rPr>
                <w:rFonts w:hint="eastAsia" w:ascii="宋体" w:hAnsi="宋体" w:eastAsia="宋体"/>
              </w:rPr>
              <w:t>系统功能符合需求说明书的规定；</w:t>
            </w:r>
          </w:p>
          <w:p w14:paraId="3A817829">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系统性能达到预定指标（如响应时间、处理能力等）；</w:t>
            </w:r>
          </w:p>
          <w:p w14:paraId="1BFAF58B">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系统界面友好，操作简便；</w:t>
            </w:r>
          </w:p>
          <w:p w14:paraId="33521DC9">
            <w:pPr>
              <w:pStyle w:val="22"/>
              <w:spacing w:line="300" w:lineRule="auto"/>
              <w:ind w:firstLine="0" w:firstLineChars="0"/>
              <w:jc w:val="left"/>
              <w:rPr>
                <w:rFonts w:ascii="宋体" w:hAnsi="宋体" w:eastAsia="宋体"/>
              </w:rPr>
            </w:pPr>
            <w:r>
              <w:rPr>
                <w:rFonts w:ascii="宋体" w:hAnsi="宋体" w:eastAsia="宋体"/>
              </w:rPr>
              <w:t>4.</w:t>
            </w:r>
            <w:r>
              <w:rPr>
                <w:rFonts w:hint="eastAsia" w:ascii="宋体" w:hAnsi="宋体" w:eastAsia="宋体"/>
              </w:rPr>
              <w:t>数据处理准确，报表准确生成；</w:t>
            </w:r>
          </w:p>
          <w:p w14:paraId="67B806D8">
            <w:pPr>
              <w:pStyle w:val="22"/>
              <w:spacing w:line="300" w:lineRule="auto"/>
              <w:ind w:firstLine="0" w:firstLineChars="0"/>
              <w:jc w:val="left"/>
              <w:rPr>
                <w:rFonts w:ascii="宋体" w:hAnsi="宋体" w:eastAsia="宋体"/>
              </w:rPr>
            </w:pPr>
            <w:r>
              <w:rPr>
                <w:rFonts w:ascii="宋体" w:hAnsi="宋体" w:eastAsia="宋体"/>
              </w:rPr>
              <w:t>5.</w:t>
            </w:r>
            <w:r>
              <w:rPr>
                <w:rFonts w:hint="eastAsia" w:ascii="宋体" w:hAnsi="宋体" w:eastAsia="宋体"/>
              </w:rPr>
              <w:t>系统安全性和稳定性符合要求；</w:t>
            </w:r>
          </w:p>
          <w:p w14:paraId="322CA9BD">
            <w:pPr>
              <w:pStyle w:val="22"/>
              <w:spacing w:line="300" w:lineRule="auto"/>
              <w:ind w:firstLine="0" w:firstLineChars="0"/>
              <w:jc w:val="left"/>
              <w:rPr>
                <w:rFonts w:ascii="宋体" w:hAnsi="宋体" w:eastAsia="宋体"/>
              </w:rPr>
            </w:pPr>
            <w:r>
              <w:rPr>
                <w:rFonts w:ascii="宋体" w:hAnsi="宋体" w:eastAsia="宋体"/>
              </w:rPr>
              <w:t>6.</w:t>
            </w:r>
            <w:r>
              <w:rPr>
                <w:rFonts w:hint="eastAsia" w:ascii="宋体" w:hAnsi="宋体" w:eastAsia="宋体"/>
              </w:rPr>
              <w:t>系统兼容性测试结果（如不同浏览器、操作系统、硬件环境等）；</w:t>
            </w:r>
          </w:p>
          <w:p w14:paraId="598D7B51">
            <w:pPr>
              <w:pStyle w:val="22"/>
              <w:spacing w:line="300" w:lineRule="auto"/>
              <w:ind w:firstLine="0" w:firstLineChars="0"/>
              <w:jc w:val="left"/>
              <w:rPr>
                <w:rFonts w:ascii="宋体" w:hAnsi="宋体" w:eastAsia="宋体"/>
              </w:rPr>
            </w:pPr>
            <w:r>
              <w:rPr>
                <w:rFonts w:ascii="宋体" w:hAnsi="宋体" w:eastAsia="宋体"/>
              </w:rPr>
              <w:t>7.</w:t>
            </w:r>
            <w:r>
              <w:rPr>
                <w:rFonts w:hint="eastAsia" w:ascii="宋体" w:hAnsi="宋体" w:eastAsia="宋体"/>
              </w:rPr>
              <w:t>系统的可扩展性和可维护性合格。</w:t>
            </w:r>
          </w:p>
        </w:tc>
      </w:tr>
      <w:tr w14:paraId="62A2B07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1672B7A1">
            <w:pPr>
              <w:spacing w:line="300" w:lineRule="auto"/>
              <w:jc w:val="center"/>
              <w:rPr>
                <w:rFonts w:ascii="宋体" w:hAnsi="宋体" w:eastAsia="宋体"/>
              </w:rPr>
            </w:pPr>
            <w:r>
              <w:rPr>
                <w:rFonts w:hint="eastAsia" w:ascii="宋体" w:hAnsi="宋体" w:eastAsia="宋体"/>
              </w:rPr>
              <w:t>5</w:t>
            </w:r>
          </w:p>
        </w:tc>
        <w:tc>
          <w:tcPr>
            <w:tcW w:w="662" w:type="pct"/>
            <w:shd w:val="clear" w:color="auto" w:fill="auto"/>
            <w:vAlign w:val="center"/>
          </w:tcPr>
          <w:p w14:paraId="00971480">
            <w:pPr>
              <w:spacing w:line="300" w:lineRule="auto"/>
              <w:jc w:val="left"/>
              <w:rPr>
                <w:rFonts w:ascii="宋体" w:hAnsi="宋体" w:eastAsia="宋体"/>
              </w:rPr>
            </w:pPr>
            <w:r>
              <w:rPr>
                <w:rFonts w:hint="eastAsia" w:ascii="宋体" w:hAnsi="宋体" w:eastAsia="宋体"/>
              </w:rPr>
              <w:t>数据质量验收</w:t>
            </w:r>
          </w:p>
        </w:tc>
        <w:tc>
          <w:tcPr>
            <w:tcW w:w="3876" w:type="pct"/>
            <w:shd w:val="clear" w:color="auto" w:fill="auto"/>
            <w:vAlign w:val="center"/>
          </w:tcPr>
          <w:p w14:paraId="47296D07">
            <w:pPr>
              <w:pStyle w:val="22"/>
              <w:spacing w:line="300" w:lineRule="auto"/>
              <w:ind w:firstLine="0" w:firstLineChars="0"/>
              <w:jc w:val="left"/>
              <w:rPr>
                <w:rFonts w:ascii="宋体" w:hAnsi="宋体" w:eastAsia="宋体"/>
              </w:rPr>
            </w:pPr>
            <w:r>
              <w:rPr>
                <w:rFonts w:ascii="宋体" w:hAnsi="宋体" w:eastAsia="宋体"/>
              </w:rPr>
              <w:t>1.</w:t>
            </w:r>
            <w:r>
              <w:rPr>
                <w:rFonts w:hint="eastAsia" w:ascii="宋体" w:hAnsi="宋体" w:eastAsia="宋体"/>
              </w:rPr>
              <w:t>数据准确性；</w:t>
            </w:r>
          </w:p>
          <w:p w14:paraId="63322945">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数据完整性；</w:t>
            </w:r>
          </w:p>
          <w:p w14:paraId="23227A68">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数据一致性；</w:t>
            </w:r>
          </w:p>
          <w:p w14:paraId="4827268F">
            <w:pPr>
              <w:pStyle w:val="22"/>
              <w:spacing w:line="300" w:lineRule="auto"/>
              <w:ind w:firstLine="0" w:firstLineChars="0"/>
              <w:jc w:val="left"/>
              <w:rPr>
                <w:rFonts w:ascii="宋体" w:hAnsi="宋体" w:eastAsia="宋体"/>
              </w:rPr>
            </w:pPr>
            <w:r>
              <w:rPr>
                <w:rFonts w:ascii="宋体" w:hAnsi="宋体" w:eastAsia="宋体"/>
              </w:rPr>
              <w:t>4.</w:t>
            </w:r>
            <w:r>
              <w:rPr>
                <w:rFonts w:hint="eastAsia" w:ascii="宋体" w:hAnsi="宋体" w:eastAsia="宋体"/>
              </w:rPr>
              <w:t>数据的可用性。</w:t>
            </w:r>
          </w:p>
        </w:tc>
      </w:tr>
      <w:tr w14:paraId="0FD0910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7F4C6D19">
            <w:pPr>
              <w:spacing w:line="300" w:lineRule="auto"/>
              <w:jc w:val="center"/>
              <w:rPr>
                <w:rFonts w:ascii="宋体" w:hAnsi="宋体" w:eastAsia="宋体"/>
              </w:rPr>
            </w:pPr>
            <w:r>
              <w:rPr>
                <w:rFonts w:hint="eastAsia" w:ascii="宋体" w:hAnsi="宋体" w:eastAsia="宋体"/>
              </w:rPr>
              <w:t>6</w:t>
            </w:r>
          </w:p>
        </w:tc>
        <w:tc>
          <w:tcPr>
            <w:tcW w:w="662" w:type="pct"/>
            <w:shd w:val="clear" w:color="auto" w:fill="auto"/>
            <w:vAlign w:val="center"/>
          </w:tcPr>
          <w:p w14:paraId="6E0391BD">
            <w:pPr>
              <w:spacing w:line="300" w:lineRule="auto"/>
              <w:jc w:val="left"/>
              <w:rPr>
                <w:rFonts w:ascii="宋体" w:hAnsi="宋体" w:eastAsia="宋体"/>
              </w:rPr>
            </w:pPr>
            <w:r>
              <w:rPr>
                <w:rFonts w:hint="eastAsia" w:ascii="宋体" w:hAnsi="宋体" w:eastAsia="宋体"/>
              </w:rPr>
              <w:t>项目文档验收</w:t>
            </w:r>
          </w:p>
        </w:tc>
        <w:tc>
          <w:tcPr>
            <w:tcW w:w="3876" w:type="pct"/>
            <w:shd w:val="clear" w:color="auto" w:fill="auto"/>
            <w:vAlign w:val="center"/>
          </w:tcPr>
          <w:p w14:paraId="071C38C3">
            <w:pPr>
              <w:pStyle w:val="22"/>
              <w:spacing w:line="300" w:lineRule="auto"/>
              <w:ind w:firstLine="0" w:firstLineChars="0"/>
              <w:jc w:val="left"/>
              <w:rPr>
                <w:rFonts w:ascii="宋体" w:hAnsi="宋体" w:eastAsia="宋体"/>
              </w:rPr>
            </w:pPr>
            <w:r>
              <w:rPr>
                <w:rFonts w:ascii="宋体" w:hAnsi="宋体" w:eastAsia="宋体"/>
              </w:rPr>
              <w:t>1.</w:t>
            </w:r>
            <w:r>
              <w:rPr>
                <w:rFonts w:hint="eastAsia" w:ascii="宋体" w:hAnsi="宋体" w:eastAsia="宋体"/>
              </w:rPr>
              <w:t>立项申请书；</w:t>
            </w:r>
          </w:p>
          <w:p w14:paraId="4AF9437E">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项目合同及补充协议；</w:t>
            </w:r>
          </w:p>
          <w:p w14:paraId="40835618">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项目实施方案；</w:t>
            </w:r>
          </w:p>
          <w:p w14:paraId="4B2BB439">
            <w:pPr>
              <w:pStyle w:val="22"/>
              <w:spacing w:line="300" w:lineRule="auto"/>
              <w:ind w:firstLine="0" w:firstLineChars="0"/>
              <w:jc w:val="left"/>
              <w:rPr>
                <w:rFonts w:ascii="宋体" w:hAnsi="宋体" w:eastAsia="宋体"/>
              </w:rPr>
            </w:pPr>
            <w:r>
              <w:rPr>
                <w:rFonts w:ascii="宋体" w:hAnsi="宋体" w:eastAsia="宋体"/>
              </w:rPr>
              <w:t>4.</w:t>
            </w:r>
            <w:r>
              <w:rPr>
                <w:rFonts w:hint="eastAsia" w:ascii="宋体" w:hAnsi="宋体" w:eastAsia="宋体"/>
              </w:rPr>
              <w:t>项目需求说明书；</w:t>
            </w:r>
          </w:p>
          <w:p w14:paraId="34DCDC1D">
            <w:pPr>
              <w:pStyle w:val="22"/>
              <w:spacing w:line="300" w:lineRule="auto"/>
              <w:ind w:firstLine="0" w:firstLineChars="0"/>
              <w:jc w:val="left"/>
              <w:rPr>
                <w:rFonts w:ascii="宋体" w:hAnsi="宋体" w:eastAsia="宋体"/>
              </w:rPr>
            </w:pPr>
            <w:r>
              <w:rPr>
                <w:rFonts w:ascii="宋体" w:hAnsi="宋体" w:eastAsia="宋体"/>
              </w:rPr>
              <w:t>5.</w:t>
            </w:r>
            <w:r>
              <w:rPr>
                <w:rFonts w:hint="eastAsia" w:ascii="宋体" w:hAnsi="宋体" w:eastAsia="宋体"/>
              </w:rPr>
              <w:t>设计和技术文件（包括但不限于系统架构图、网络拓扑图等）；</w:t>
            </w:r>
          </w:p>
          <w:p w14:paraId="1A9F1558">
            <w:pPr>
              <w:pStyle w:val="22"/>
              <w:spacing w:line="300" w:lineRule="auto"/>
              <w:ind w:firstLine="0" w:firstLineChars="0"/>
              <w:jc w:val="left"/>
              <w:rPr>
                <w:rFonts w:ascii="宋体" w:hAnsi="宋体" w:eastAsia="宋体"/>
              </w:rPr>
            </w:pPr>
            <w:r>
              <w:rPr>
                <w:rFonts w:ascii="宋体" w:hAnsi="宋体" w:eastAsia="宋体"/>
              </w:rPr>
              <w:t>6.</w:t>
            </w:r>
            <w:r>
              <w:rPr>
                <w:rFonts w:hint="eastAsia" w:ascii="宋体" w:hAnsi="宋体" w:eastAsia="宋体"/>
              </w:rPr>
              <w:t>项目变更记录；</w:t>
            </w:r>
          </w:p>
          <w:p w14:paraId="2B04424F">
            <w:pPr>
              <w:pStyle w:val="22"/>
              <w:spacing w:line="300" w:lineRule="auto"/>
              <w:ind w:firstLine="0" w:firstLineChars="0"/>
              <w:jc w:val="left"/>
              <w:rPr>
                <w:rFonts w:ascii="宋体" w:hAnsi="宋体" w:eastAsia="宋体"/>
              </w:rPr>
            </w:pPr>
            <w:r>
              <w:rPr>
                <w:rFonts w:ascii="宋体" w:hAnsi="宋体" w:eastAsia="宋体"/>
              </w:rPr>
              <w:t>7.</w:t>
            </w:r>
            <w:r>
              <w:rPr>
                <w:rFonts w:hint="eastAsia" w:ascii="宋体" w:hAnsi="宋体" w:eastAsia="宋体"/>
              </w:rPr>
              <w:t>项目进度报告；</w:t>
            </w:r>
          </w:p>
          <w:p w14:paraId="4629B597">
            <w:pPr>
              <w:pStyle w:val="22"/>
              <w:spacing w:line="300" w:lineRule="auto"/>
              <w:ind w:firstLine="0" w:firstLineChars="0"/>
              <w:jc w:val="left"/>
              <w:rPr>
                <w:rFonts w:ascii="宋体" w:hAnsi="宋体" w:eastAsia="宋体"/>
              </w:rPr>
            </w:pPr>
            <w:r>
              <w:rPr>
                <w:rFonts w:ascii="宋体" w:hAnsi="宋体" w:eastAsia="宋体"/>
              </w:rPr>
              <w:t>8.</w:t>
            </w:r>
            <w:r>
              <w:rPr>
                <w:rFonts w:hint="eastAsia" w:ascii="宋体" w:hAnsi="宋体" w:eastAsia="宋体"/>
              </w:rPr>
              <w:t>项目实施方案；</w:t>
            </w:r>
          </w:p>
          <w:p w14:paraId="38386242">
            <w:pPr>
              <w:pStyle w:val="22"/>
              <w:spacing w:line="300" w:lineRule="auto"/>
              <w:ind w:firstLine="0" w:firstLineChars="0"/>
              <w:jc w:val="left"/>
              <w:rPr>
                <w:rFonts w:ascii="宋体" w:hAnsi="宋体" w:eastAsia="宋体"/>
              </w:rPr>
            </w:pPr>
            <w:r>
              <w:rPr>
                <w:rFonts w:ascii="宋体" w:hAnsi="宋体" w:eastAsia="宋体"/>
              </w:rPr>
              <w:t>9.</w:t>
            </w:r>
            <w:r>
              <w:rPr>
                <w:rFonts w:hint="eastAsia" w:ascii="宋体" w:hAnsi="宋体" w:eastAsia="宋体"/>
              </w:rPr>
              <w:t>项目质量保证文件；</w:t>
            </w:r>
          </w:p>
          <w:p w14:paraId="5479866A">
            <w:pPr>
              <w:pStyle w:val="22"/>
              <w:spacing w:line="300" w:lineRule="auto"/>
              <w:ind w:firstLine="0" w:firstLineChars="0"/>
              <w:jc w:val="left"/>
              <w:rPr>
                <w:rFonts w:ascii="宋体" w:hAnsi="宋体" w:eastAsia="宋体"/>
              </w:rPr>
            </w:pPr>
            <w:r>
              <w:rPr>
                <w:rFonts w:ascii="宋体" w:hAnsi="宋体" w:eastAsia="宋体"/>
              </w:rPr>
              <w:t>10.</w:t>
            </w:r>
            <w:r>
              <w:rPr>
                <w:rFonts w:hint="eastAsia" w:ascii="宋体" w:hAnsi="宋体" w:eastAsia="宋体"/>
              </w:rPr>
              <w:t>用户手册和操作指南；</w:t>
            </w:r>
          </w:p>
          <w:p w14:paraId="065F92E4">
            <w:pPr>
              <w:pStyle w:val="22"/>
              <w:spacing w:line="300" w:lineRule="auto"/>
              <w:ind w:firstLine="0" w:firstLineChars="0"/>
              <w:jc w:val="left"/>
              <w:rPr>
                <w:rFonts w:ascii="宋体" w:hAnsi="宋体" w:eastAsia="宋体"/>
              </w:rPr>
            </w:pPr>
            <w:r>
              <w:rPr>
                <w:rFonts w:ascii="宋体" w:hAnsi="宋体" w:eastAsia="宋体"/>
              </w:rPr>
              <w:t>11.</w:t>
            </w:r>
            <w:r>
              <w:rPr>
                <w:rFonts w:hint="eastAsia" w:ascii="宋体" w:hAnsi="宋体" w:eastAsia="宋体"/>
              </w:rPr>
              <w:t>培训资料和记录；</w:t>
            </w:r>
          </w:p>
          <w:p w14:paraId="127F7A3C">
            <w:pPr>
              <w:pStyle w:val="22"/>
              <w:spacing w:line="300" w:lineRule="auto"/>
              <w:ind w:firstLine="0" w:firstLineChars="0"/>
              <w:jc w:val="left"/>
              <w:rPr>
                <w:rFonts w:ascii="宋体" w:hAnsi="宋体" w:eastAsia="宋体"/>
              </w:rPr>
            </w:pPr>
            <w:r>
              <w:rPr>
                <w:rFonts w:ascii="宋体" w:hAnsi="宋体" w:eastAsia="宋体"/>
              </w:rPr>
              <w:t>12.</w:t>
            </w:r>
            <w:r>
              <w:rPr>
                <w:rFonts w:hint="eastAsia" w:ascii="宋体" w:hAnsi="宋体" w:eastAsia="宋体"/>
              </w:rPr>
              <w:t>系统维护手册。</w:t>
            </w:r>
          </w:p>
        </w:tc>
      </w:tr>
      <w:tr w14:paraId="244AAE2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4E7D7A8B">
            <w:pPr>
              <w:spacing w:line="300" w:lineRule="auto"/>
              <w:jc w:val="center"/>
              <w:rPr>
                <w:rFonts w:ascii="宋体" w:hAnsi="宋体" w:eastAsia="宋体"/>
              </w:rPr>
            </w:pPr>
            <w:r>
              <w:rPr>
                <w:rFonts w:hint="eastAsia" w:ascii="宋体" w:hAnsi="宋体" w:eastAsia="宋体"/>
              </w:rPr>
              <w:t>7</w:t>
            </w:r>
          </w:p>
        </w:tc>
        <w:tc>
          <w:tcPr>
            <w:tcW w:w="662" w:type="pct"/>
            <w:shd w:val="clear" w:color="auto" w:fill="auto"/>
            <w:vAlign w:val="center"/>
          </w:tcPr>
          <w:p w14:paraId="2C4EA856">
            <w:pPr>
              <w:spacing w:line="300" w:lineRule="auto"/>
              <w:jc w:val="left"/>
              <w:rPr>
                <w:rFonts w:ascii="宋体" w:hAnsi="宋体" w:eastAsia="宋体"/>
              </w:rPr>
            </w:pPr>
            <w:r>
              <w:rPr>
                <w:rFonts w:hint="eastAsia" w:ascii="宋体" w:hAnsi="宋体" w:eastAsia="宋体"/>
              </w:rPr>
              <w:t>质保服务验收</w:t>
            </w:r>
          </w:p>
        </w:tc>
        <w:tc>
          <w:tcPr>
            <w:tcW w:w="3876" w:type="pct"/>
            <w:shd w:val="clear" w:color="auto" w:fill="auto"/>
            <w:vAlign w:val="center"/>
          </w:tcPr>
          <w:p w14:paraId="63EB6FCE">
            <w:pPr>
              <w:pStyle w:val="22"/>
              <w:spacing w:line="300" w:lineRule="auto"/>
              <w:ind w:firstLine="0" w:firstLineChars="0"/>
              <w:jc w:val="left"/>
              <w:rPr>
                <w:rFonts w:ascii="宋体" w:hAnsi="宋体" w:eastAsia="宋体"/>
              </w:rPr>
            </w:pPr>
            <w:r>
              <w:rPr>
                <w:rFonts w:ascii="宋体" w:hAnsi="宋体" w:eastAsia="宋体"/>
              </w:rPr>
              <w:t>1.</w:t>
            </w:r>
            <w:r>
              <w:rPr>
                <w:rFonts w:hint="eastAsia" w:ascii="宋体" w:hAnsi="宋体" w:eastAsia="宋体"/>
              </w:rPr>
              <w:t>售后服务承诺和保障措施；</w:t>
            </w:r>
          </w:p>
          <w:p w14:paraId="6B1B009C">
            <w:pPr>
              <w:pStyle w:val="22"/>
              <w:spacing w:line="300" w:lineRule="auto"/>
              <w:ind w:firstLine="0" w:firstLineChars="0"/>
              <w:jc w:val="left"/>
              <w:rPr>
                <w:rFonts w:ascii="宋体" w:hAnsi="宋体" w:eastAsia="宋体"/>
              </w:rPr>
            </w:pPr>
            <w:r>
              <w:rPr>
                <w:rFonts w:ascii="宋体" w:hAnsi="宋体" w:eastAsia="宋体"/>
              </w:rPr>
              <w:t>2.</w:t>
            </w:r>
            <w:r>
              <w:rPr>
                <w:rFonts w:hint="eastAsia" w:ascii="宋体" w:hAnsi="宋体" w:eastAsia="宋体"/>
              </w:rPr>
              <w:t>技术支持和培训服务到位；</w:t>
            </w:r>
          </w:p>
          <w:p w14:paraId="2EE68EC8">
            <w:pPr>
              <w:pStyle w:val="22"/>
              <w:spacing w:line="300" w:lineRule="auto"/>
              <w:ind w:firstLine="0" w:firstLineChars="0"/>
              <w:jc w:val="left"/>
              <w:rPr>
                <w:rFonts w:ascii="宋体" w:hAnsi="宋体" w:eastAsia="宋体"/>
              </w:rPr>
            </w:pPr>
            <w:r>
              <w:rPr>
                <w:rFonts w:ascii="宋体" w:hAnsi="宋体" w:eastAsia="宋体"/>
              </w:rPr>
              <w:t>3.</w:t>
            </w:r>
            <w:r>
              <w:rPr>
                <w:rFonts w:hint="eastAsia" w:ascii="宋体" w:hAnsi="宋体" w:eastAsia="宋体"/>
              </w:rPr>
              <w:t>系统维护和升级服务明确；</w:t>
            </w:r>
          </w:p>
          <w:p w14:paraId="054011A2">
            <w:pPr>
              <w:pStyle w:val="22"/>
              <w:spacing w:line="300" w:lineRule="auto"/>
              <w:ind w:firstLine="0" w:firstLineChars="0"/>
              <w:jc w:val="left"/>
              <w:rPr>
                <w:rFonts w:ascii="宋体" w:hAnsi="宋体" w:eastAsia="宋体"/>
              </w:rPr>
            </w:pPr>
            <w:r>
              <w:rPr>
                <w:rFonts w:hint="eastAsia" w:ascii="宋体" w:hAnsi="宋体" w:eastAsia="宋体"/>
              </w:rPr>
              <w:t>4.技术人员、维保人员就位；</w:t>
            </w:r>
          </w:p>
          <w:p w14:paraId="6366F4B2">
            <w:pPr>
              <w:pStyle w:val="22"/>
              <w:spacing w:line="300" w:lineRule="auto"/>
              <w:ind w:firstLine="0" w:firstLineChars="0"/>
              <w:jc w:val="left"/>
              <w:rPr>
                <w:rFonts w:ascii="宋体" w:hAnsi="宋体" w:eastAsia="宋体"/>
              </w:rPr>
            </w:pPr>
            <w:r>
              <w:rPr>
                <w:rFonts w:hint="eastAsia" w:ascii="宋体" w:hAnsi="宋体" w:eastAsia="宋体"/>
              </w:rPr>
              <w:t>5.反映施工真实状态的点位部署图纸资料；</w:t>
            </w:r>
          </w:p>
          <w:p w14:paraId="09A2CCBE">
            <w:pPr>
              <w:pStyle w:val="22"/>
              <w:spacing w:line="300" w:lineRule="auto"/>
              <w:ind w:firstLine="0" w:firstLineChars="0"/>
              <w:jc w:val="left"/>
              <w:rPr>
                <w:rFonts w:ascii="宋体" w:hAnsi="宋体" w:eastAsia="宋体"/>
              </w:rPr>
            </w:pPr>
            <w:r>
              <w:rPr>
                <w:rFonts w:hint="eastAsia" w:ascii="宋体" w:hAnsi="宋体" w:eastAsia="宋体"/>
              </w:rPr>
              <w:t>6.用户满意度调查结果。</w:t>
            </w:r>
          </w:p>
        </w:tc>
      </w:tr>
    </w:tbl>
    <w:p w14:paraId="2D401915">
      <w:pPr>
        <w:pStyle w:val="3"/>
        <w:keepNext w:val="0"/>
        <w:keepLines w:val="0"/>
        <w:spacing w:line="240" w:lineRule="auto"/>
        <w:ind w:left="900" w:hanging="900"/>
        <w:rPr>
          <w:rFonts w:ascii="宋体" w:hAnsi="宋体" w:eastAsia="宋体" w:cs="宋体"/>
          <w:kern w:val="44"/>
          <w:sz w:val="24"/>
          <w:szCs w:val="24"/>
        </w:rPr>
      </w:pPr>
      <w:bookmarkStart w:id="170" w:name="_Toc29004"/>
      <w:bookmarkStart w:id="171" w:name="_Toc752"/>
      <w:r>
        <w:rPr>
          <w:rFonts w:ascii="宋体" w:hAnsi="宋体" w:eastAsia="宋体" w:cs="宋体"/>
          <w:kern w:val="44"/>
          <w:sz w:val="24"/>
          <w:szCs w:val="24"/>
        </w:rPr>
        <w:t>3.</w:t>
      </w:r>
      <w:r>
        <w:rPr>
          <w:rFonts w:hint="eastAsia" w:ascii="宋体" w:hAnsi="宋体" w:eastAsia="宋体" w:cs="宋体"/>
          <w:kern w:val="44"/>
          <w:sz w:val="24"/>
          <w:szCs w:val="24"/>
          <w:lang w:val="en-US" w:eastAsia="zh-CN"/>
        </w:rPr>
        <w:t>1.</w:t>
      </w:r>
      <w:r>
        <w:rPr>
          <w:rFonts w:ascii="宋体" w:hAnsi="宋体" w:eastAsia="宋体" w:cs="宋体"/>
          <w:kern w:val="44"/>
          <w:sz w:val="24"/>
          <w:szCs w:val="24"/>
        </w:rPr>
        <w:t>1</w:t>
      </w:r>
      <w:r>
        <w:rPr>
          <w:rFonts w:hint="eastAsia" w:ascii="宋体" w:hAnsi="宋体" w:eastAsia="宋体" w:cs="宋体"/>
          <w:kern w:val="44"/>
          <w:sz w:val="24"/>
          <w:szCs w:val="24"/>
        </w:rPr>
        <w:t>2设备利旧</w:t>
      </w:r>
      <w:bookmarkEnd w:id="170"/>
      <w:bookmarkEnd w:id="171"/>
    </w:p>
    <w:p w14:paraId="1B93F9C0">
      <w:pPr>
        <w:pStyle w:val="19"/>
        <w:ind w:firstLine="480"/>
      </w:pPr>
      <w:r>
        <w:rPr>
          <w:rFonts w:hint="eastAsia"/>
        </w:rPr>
        <w:t>本次项目实施过程中，我们将更新并淘汰一批网络设备。针对这些替换下来的设备，其状态各异，部分设备仍具备再利用的价值。投标方需根据最大化资源利用、避免浪费的原则，参考实际情况，对所有利旧设备进行详细的评估和分类，制定科学合理的利旧方案，并提供相应的技术支持和维护计划。通过合理规划，确保现有资源得到最大程度的优化与利用，实现项目的经济效益与可持续发展目标。具体实施过程中，甲方可以根据实际情况对方案进行必要的调整。</w:t>
      </w:r>
    </w:p>
    <w:p w14:paraId="53B1DC1F">
      <w:pPr>
        <w:pStyle w:val="19"/>
        <w:ind w:firstLine="480"/>
      </w:pPr>
      <w:r>
        <w:rPr>
          <w:rFonts w:hint="eastAsia"/>
        </w:rPr>
        <w:t>具体而言，对于性能良好、符合现有网络需求的设备，应优先考虑重新部署于非关键业务场景，如办公网、分支机构或测试环境等。对于部分功能稍显落后的设备，可通过升级软件、更换模块等方式延长其使用寿命，继续发挥余热。对于已无法满足当前技术要求的设备，可考虑将其拆解，提取可用部件用于维修其他设备，或作为备件库存，以降低未来维护成本。</w:t>
      </w:r>
    </w:p>
    <w:p w14:paraId="33465A46">
      <w:pPr>
        <w:pStyle w:val="6"/>
        <w:spacing w:line="300" w:lineRule="auto"/>
        <w:jc w:val="center"/>
        <w:rPr>
          <w:rFonts w:ascii="仿宋" w:hAnsi="仿宋" w:eastAsia="仿宋"/>
        </w:rPr>
      </w:pPr>
      <w:r>
        <w:rPr>
          <w:rFonts w:hint="eastAsia" w:ascii="仿宋" w:hAnsi="仿宋" w:eastAsia="仿宋"/>
        </w:rPr>
        <w:t>表4-2-1 合肥校区须利旧的设备列表</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192"/>
        <w:gridCol w:w="1192"/>
        <w:gridCol w:w="1361"/>
        <w:gridCol w:w="851"/>
        <w:gridCol w:w="4522"/>
      </w:tblGrid>
      <w:tr w14:paraId="77B8F5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4" w:type="pct"/>
            <w:shd w:val="clear" w:color="auto" w:fill="auto"/>
            <w:vAlign w:val="center"/>
          </w:tcPr>
          <w:p w14:paraId="7D195979">
            <w:pPr>
              <w:pStyle w:val="19"/>
              <w:ind w:firstLine="0"/>
              <w:jc w:val="center"/>
              <w:rPr>
                <w:b/>
              </w:rPr>
            </w:pPr>
            <w:r>
              <w:rPr>
                <w:rFonts w:hint="eastAsia"/>
                <w:b/>
              </w:rPr>
              <w:t>序号</w:t>
            </w:r>
          </w:p>
        </w:tc>
        <w:tc>
          <w:tcPr>
            <w:tcW w:w="598" w:type="pct"/>
            <w:shd w:val="clear" w:color="auto" w:fill="auto"/>
            <w:vAlign w:val="center"/>
          </w:tcPr>
          <w:p w14:paraId="3029A883">
            <w:pPr>
              <w:pStyle w:val="19"/>
              <w:ind w:firstLine="0"/>
              <w:jc w:val="center"/>
              <w:rPr>
                <w:b/>
              </w:rPr>
            </w:pPr>
            <w:r>
              <w:rPr>
                <w:rFonts w:hint="eastAsia"/>
                <w:b/>
              </w:rPr>
              <w:t>名称</w:t>
            </w:r>
          </w:p>
        </w:tc>
        <w:tc>
          <w:tcPr>
            <w:tcW w:w="598" w:type="pct"/>
            <w:shd w:val="clear" w:color="auto" w:fill="auto"/>
            <w:vAlign w:val="center"/>
          </w:tcPr>
          <w:p w14:paraId="4B349C4A">
            <w:pPr>
              <w:pStyle w:val="19"/>
              <w:ind w:firstLine="0"/>
              <w:jc w:val="center"/>
              <w:rPr>
                <w:b/>
              </w:rPr>
            </w:pPr>
            <w:r>
              <w:rPr>
                <w:rFonts w:hint="eastAsia"/>
                <w:b/>
              </w:rPr>
              <w:t>型号</w:t>
            </w:r>
          </w:p>
        </w:tc>
        <w:tc>
          <w:tcPr>
            <w:tcW w:w="683" w:type="pct"/>
            <w:shd w:val="clear" w:color="auto" w:fill="auto"/>
            <w:vAlign w:val="center"/>
          </w:tcPr>
          <w:p w14:paraId="2EB1C0F4">
            <w:pPr>
              <w:pStyle w:val="19"/>
              <w:ind w:firstLine="0"/>
              <w:jc w:val="center"/>
              <w:rPr>
                <w:b/>
              </w:rPr>
            </w:pPr>
            <w:r>
              <w:rPr>
                <w:rFonts w:hint="eastAsia"/>
                <w:b/>
              </w:rPr>
              <w:t>品牌</w:t>
            </w:r>
          </w:p>
        </w:tc>
        <w:tc>
          <w:tcPr>
            <w:tcW w:w="427" w:type="pct"/>
            <w:shd w:val="clear" w:color="auto" w:fill="auto"/>
            <w:vAlign w:val="center"/>
          </w:tcPr>
          <w:p w14:paraId="6FD3C100">
            <w:pPr>
              <w:pStyle w:val="19"/>
              <w:ind w:firstLine="0"/>
              <w:jc w:val="center"/>
              <w:rPr>
                <w:b/>
              </w:rPr>
            </w:pPr>
            <w:r>
              <w:rPr>
                <w:rFonts w:hint="eastAsia"/>
                <w:b/>
              </w:rPr>
              <w:t>数量</w:t>
            </w:r>
          </w:p>
        </w:tc>
        <w:tc>
          <w:tcPr>
            <w:tcW w:w="2269" w:type="pct"/>
            <w:shd w:val="clear" w:color="auto" w:fill="auto"/>
            <w:vAlign w:val="center"/>
          </w:tcPr>
          <w:p w14:paraId="251AE847">
            <w:pPr>
              <w:pStyle w:val="19"/>
              <w:ind w:firstLine="0"/>
              <w:jc w:val="center"/>
              <w:rPr>
                <w:b/>
              </w:rPr>
            </w:pPr>
            <w:r>
              <w:rPr>
                <w:rFonts w:hint="eastAsia"/>
                <w:b/>
              </w:rPr>
              <w:t>需求</w:t>
            </w:r>
          </w:p>
        </w:tc>
      </w:tr>
      <w:tr w14:paraId="75914D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auto"/>
            <w:vAlign w:val="center"/>
          </w:tcPr>
          <w:p w14:paraId="359F029F">
            <w:pPr>
              <w:pStyle w:val="19"/>
              <w:ind w:firstLine="0"/>
              <w:jc w:val="left"/>
            </w:pPr>
            <w:r>
              <w:rPr>
                <w:rFonts w:hint="eastAsia"/>
              </w:rPr>
              <w:t>1</w:t>
            </w:r>
          </w:p>
        </w:tc>
        <w:tc>
          <w:tcPr>
            <w:tcW w:w="598" w:type="pct"/>
            <w:shd w:val="clear" w:color="auto" w:fill="auto"/>
            <w:vAlign w:val="center"/>
          </w:tcPr>
          <w:p w14:paraId="379E67DE">
            <w:pPr>
              <w:pStyle w:val="19"/>
              <w:ind w:firstLine="0"/>
              <w:jc w:val="left"/>
            </w:pPr>
            <w:r>
              <w:rPr>
                <w:rFonts w:hint="eastAsia"/>
              </w:rPr>
              <w:t>屯溪路核心交换机</w:t>
            </w:r>
          </w:p>
        </w:tc>
        <w:tc>
          <w:tcPr>
            <w:tcW w:w="598" w:type="pct"/>
            <w:shd w:val="clear" w:color="auto" w:fill="auto"/>
            <w:vAlign w:val="center"/>
          </w:tcPr>
          <w:p w14:paraId="63BEB0B0">
            <w:pPr>
              <w:pStyle w:val="19"/>
              <w:ind w:firstLine="0"/>
              <w:jc w:val="left"/>
            </w:pPr>
            <w:r>
              <w:rPr>
                <w:rFonts w:hint="eastAsia"/>
              </w:rPr>
              <w:t>C7010</w:t>
            </w:r>
          </w:p>
        </w:tc>
        <w:tc>
          <w:tcPr>
            <w:tcW w:w="683" w:type="pct"/>
            <w:shd w:val="clear" w:color="auto" w:fill="auto"/>
            <w:vAlign w:val="center"/>
          </w:tcPr>
          <w:p w14:paraId="61B84C27">
            <w:pPr>
              <w:pStyle w:val="19"/>
              <w:ind w:firstLine="0"/>
              <w:jc w:val="left"/>
            </w:pPr>
            <w:r>
              <w:rPr>
                <w:rFonts w:hint="eastAsia"/>
              </w:rPr>
              <w:t>CISCO</w:t>
            </w:r>
          </w:p>
        </w:tc>
        <w:tc>
          <w:tcPr>
            <w:tcW w:w="427" w:type="pct"/>
            <w:shd w:val="clear" w:color="auto" w:fill="auto"/>
            <w:vAlign w:val="center"/>
          </w:tcPr>
          <w:p w14:paraId="03E5ECE8">
            <w:pPr>
              <w:pStyle w:val="19"/>
              <w:ind w:firstLine="0"/>
              <w:jc w:val="left"/>
            </w:pPr>
            <w:r>
              <w:rPr>
                <w:rFonts w:hint="eastAsia"/>
              </w:rPr>
              <w:t>1</w:t>
            </w:r>
          </w:p>
        </w:tc>
        <w:tc>
          <w:tcPr>
            <w:tcW w:w="2269" w:type="pct"/>
            <w:shd w:val="clear" w:color="auto" w:fill="auto"/>
            <w:vAlign w:val="center"/>
          </w:tcPr>
          <w:p w14:paraId="3FF26DB7">
            <w:pPr>
              <w:pStyle w:val="19"/>
              <w:ind w:firstLine="0"/>
              <w:jc w:val="left"/>
            </w:pPr>
            <w:r>
              <w:rPr>
                <w:rFonts w:hint="eastAsia"/>
              </w:rPr>
              <w:t>作为汇聚储备用，原厂服务费用较高，未来考虑采购代理商维保服务</w:t>
            </w:r>
          </w:p>
        </w:tc>
      </w:tr>
      <w:tr w14:paraId="5A66654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auto"/>
            <w:vAlign w:val="center"/>
          </w:tcPr>
          <w:p w14:paraId="5524F6A6">
            <w:pPr>
              <w:pStyle w:val="19"/>
              <w:ind w:firstLine="0"/>
              <w:jc w:val="left"/>
            </w:pPr>
            <w:r>
              <w:rPr>
                <w:rFonts w:hint="eastAsia"/>
              </w:rPr>
              <w:t>2</w:t>
            </w:r>
          </w:p>
        </w:tc>
        <w:tc>
          <w:tcPr>
            <w:tcW w:w="598" w:type="pct"/>
            <w:shd w:val="clear" w:color="auto" w:fill="auto"/>
            <w:vAlign w:val="center"/>
          </w:tcPr>
          <w:p w14:paraId="43E648EC">
            <w:pPr>
              <w:pStyle w:val="19"/>
              <w:ind w:firstLine="0"/>
              <w:jc w:val="left"/>
            </w:pPr>
            <w:r>
              <w:rPr>
                <w:rFonts w:hint="eastAsia"/>
              </w:rPr>
              <w:t>翡翠湖核心交换机</w:t>
            </w:r>
          </w:p>
        </w:tc>
        <w:tc>
          <w:tcPr>
            <w:tcW w:w="598" w:type="pct"/>
            <w:shd w:val="clear" w:color="auto" w:fill="auto"/>
            <w:vAlign w:val="center"/>
          </w:tcPr>
          <w:p w14:paraId="22E2F018">
            <w:pPr>
              <w:pStyle w:val="19"/>
              <w:ind w:firstLine="0"/>
              <w:jc w:val="left"/>
            </w:pPr>
            <w:r>
              <w:rPr>
                <w:rFonts w:hint="eastAsia"/>
              </w:rPr>
              <w:t>C7010</w:t>
            </w:r>
          </w:p>
        </w:tc>
        <w:tc>
          <w:tcPr>
            <w:tcW w:w="683" w:type="pct"/>
            <w:shd w:val="clear" w:color="auto" w:fill="auto"/>
            <w:vAlign w:val="center"/>
          </w:tcPr>
          <w:p w14:paraId="794F06D1">
            <w:pPr>
              <w:pStyle w:val="19"/>
              <w:ind w:firstLine="0"/>
              <w:jc w:val="left"/>
            </w:pPr>
            <w:r>
              <w:rPr>
                <w:rFonts w:hint="eastAsia"/>
              </w:rPr>
              <w:t>CISCO</w:t>
            </w:r>
          </w:p>
        </w:tc>
        <w:tc>
          <w:tcPr>
            <w:tcW w:w="427" w:type="pct"/>
            <w:shd w:val="clear" w:color="auto" w:fill="auto"/>
            <w:vAlign w:val="center"/>
          </w:tcPr>
          <w:p w14:paraId="5BF74F5D">
            <w:pPr>
              <w:pStyle w:val="19"/>
              <w:ind w:firstLine="0"/>
              <w:jc w:val="left"/>
            </w:pPr>
            <w:r>
              <w:rPr>
                <w:rFonts w:hint="eastAsia"/>
              </w:rPr>
              <w:t>1</w:t>
            </w:r>
          </w:p>
        </w:tc>
        <w:tc>
          <w:tcPr>
            <w:tcW w:w="2269" w:type="pct"/>
            <w:shd w:val="clear" w:color="auto" w:fill="auto"/>
            <w:vAlign w:val="center"/>
          </w:tcPr>
          <w:p w14:paraId="3F528D8C">
            <w:pPr>
              <w:pStyle w:val="19"/>
              <w:ind w:firstLine="0"/>
              <w:jc w:val="left"/>
            </w:pPr>
            <w:r>
              <w:rPr>
                <w:rFonts w:hint="eastAsia"/>
              </w:rPr>
              <w:t>作为汇聚储备用，原厂服务费用较高，未来考虑采购代理商维保服务</w:t>
            </w:r>
          </w:p>
        </w:tc>
      </w:tr>
      <w:tr w14:paraId="09566C7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auto"/>
            <w:vAlign w:val="center"/>
          </w:tcPr>
          <w:p w14:paraId="0367A30A">
            <w:pPr>
              <w:pStyle w:val="19"/>
              <w:ind w:firstLine="0"/>
              <w:jc w:val="left"/>
            </w:pPr>
            <w:r>
              <w:rPr>
                <w:rFonts w:hint="eastAsia"/>
              </w:rPr>
              <w:t>3</w:t>
            </w:r>
          </w:p>
        </w:tc>
        <w:tc>
          <w:tcPr>
            <w:tcW w:w="598" w:type="pct"/>
            <w:shd w:val="clear" w:color="auto" w:fill="auto"/>
            <w:vAlign w:val="center"/>
          </w:tcPr>
          <w:p w14:paraId="29396A6D">
            <w:pPr>
              <w:pStyle w:val="19"/>
              <w:ind w:firstLine="0"/>
              <w:jc w:val="left"/>
            </w:pPr>
            <w:r>
              <w:rPr>
                <w:rFonts w:hint="eastAsia"/>
              </w:rPr>
              <w:t>屯溪路校区逸夫楼汇聚交换机</w:t>
            </w:r>
          </w:p>
        </w:tc>
        <w:tc>
          <w:tcPr>
            <w:tcW w:w="598" w:type="pct"/>
            <w:shd w:val="clear" w:color="auto" w:fill="auto"/>
            <w:vAlign w:val="center"/>
          </w:tcPr>
          <w:p w14:paraId="17DAD8C5">
            <w:pPr>
              <w:pStyle w:val="19"/>
              <w:ind w:firstLine="0"/>
              <w:jc w:val="left"/>
            </w:pPr>
            <w:r>
              <w:rPr>
                <w:rFonts w:hint="eastAsia"/>
              </w:rPr>
              <w:t>CN12904</w:t>
            </w:r>
          </w:p>
        </w:tc>
        <w:tc>
          <w:tcPr>
            <w:tcW w:w="683" w:type="pct"/>
            <w:shd w:val="clear" w:color="auto" w:fill="auto"/>
            <w:vAlign w:val="center"/>
          </w:tcPr>
          <w:p w14:paraId="0B41A002">
            <w:pPr>
              <w:pStyle w:val="19"/>
              <w:ind w:firstLine="0"/>
              <w:jc w:val="left"/>
            </w:pPr>
            <w:r>
              <w:rPr>
                <w:rFonts w:hint="eastAsia"/>
              </w:rPr>
              <w:t>浪思</w:t>
            </w:r>
          </w:p>
        </w:tc>
        <w:tc>
          <w:tcPr>
            <w:tcW w:w="427" w:type="pct"/>
            <w:shd w:val="clear" w:color="auto" w:fill="auto"/>
            <w:vAlign w:val="center"/>
          </w:tcPr>
          <w:p w14:paraId="1391382B">
            <w:pPr>
              <w:pStyle w:val="19"/>
              <w:ind w:firstLine="0"/>
              <w:jc w:val="left"/>
            </w:pPr>
            <w:r>
              <w:rPr>
                <w:rFonts w:hint="eastAsia"/>
              </w:rPr>
              <w:t>1</w:t>
            </w:r>
          </w:p>
        </w:tc>
        <w:tc>
          <w:tcPr>
            <w:tcW w:w="2269" w:type="pct"/>
            <w:shd w:val="clear" w:color="auto" w:fill="auto"/>
            <w:vAlign w:val="center"/>
          </w:tcPr>
          <w:p w14:paraId="0023A417">
            <w:pPr>
              <w:pStyle w:val="19"/>
              <w:ind w:firstLine="0"/>
              <w:jc w:val="left"/>
            </w:pPr>
            <w:r>
              <w:rPr>
                <w:rFonts w:hint="eastAsia"/>
              </w:rPr>
              <w:t>用于屯溪路校区图书馆，运输到位部署调试上线</w:t>
            </w:r>
          </w:p>
        </w:tc>
      </w:tr>
    </w:tbl>
    <w:p w14:paraId="7B4F7F0A">
      <w:pPr>
        <w:pStyle w:val="6"/>
        <w:jc w:val="center"/>
        <w:rPr>
          <w:rFonts w:ascii="仿宋" w:hAnsi="仿宋" w:eastAsia="仿宋"/>
        </w:rPr>
      </w:pPr>
      <w:r>
        <w:rPr>
          <w:rFonts w:hint="eastAsia" w:ascii="仿宋" w:hAnsi="仿宋" w:eastAsia="仿宋"/>
        </w:rPr>
        <w:t>表4-2-2 合肥校区迁移到宣城校区利旧的设备列表</w:t>
      </w:r>
    </w:p>
    <w:tbl>
      <w:tblPr>
        <w:tblStyle w:val="12"/>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53"/>
        <w:gridCol w:w="853"/>
        <w:gridCol w:w="853"/>
        <w:gridCol w:w="848"/>
        <w:gridCol w:w="5883"/>
      </w:tblGrid>
      <w:tr w14:paraId="4BAF2D5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shd w:val="clear" w:color="auto" w:fill="auto"/>
            <w:noWrap/>
            <w:vAlign w:val="center"/>
          </w:tcPr>
          <w:p w14:paraId="04433C11">
            <w:pPr>
              <w:jc w:val="left"/>
              <w:rPr>
                <w:rFonts w:ascii="宋体" w:hAnsi="宋体" w:eastAsia="宋体"/>
              </w:rPr>
            </w:pPr>
            <w:r>
              <w:rPr>
                <w:rFonts w:hint="eastAsia" w:ascii="宋体" w:hAnsi="宋体" w:eastAsia="宋体"/>
              </w:rPr>
              <w:t>序号</w:t>
            </w:r>
          </w:p>
        </w:tc>
        <w:tc>
          <w:tcPr>
            <w:tcW w:w="428" w:type="pct"/>
            <w:shd w:val="clear" w:color="auto" w:fill="auto"/>
            <w:noWrap/>
            <w:vAlign w:val="center"/>
          </w:tcPr>
          <w:p w14:paraId="3B471AB2">
            <w:pPr>
              <w:jc w:val="left"/>
              <w:rPr>
                <w:rFonts w:ascii="宋体" w:hAnsi="宋体" w:eastAsia="宋体"/>
              </w:rPr>
            </w:pPr>
            <w:r>
              <w:rPr>
                <w:rFonts w:hint="eastAsia" w:ascii="宋体" w:hAnsi="宋体" w:eastAsia="宋体"/>
              </w:rPr>
              <w:t>名称</w:t>
            </w:r>
          </w:p>
        </w:tc>
        <w:tc>
          <w:tcPr>
            <w:tcW w:w="428" w:type="pct"/>
            <w:shd w:val="clear" w:color="auto" w:fill="auto"/>
            <w:noWrap/>
            <w:vAlign w:val="center"/>
          </w:tcPr>
          <w:p w14:paraId="35873A5C">
            <w:pPr>
              <w:jc w:val="left"/>
              <w:rPr>
                <w:rFonts w:ascii="宋体" w:hAnsi="宋体" w:eastAsia="宋体"/>
              </w:rPr>
            </w:pPr>
            <w:r>
              <w:rPr>
                <w:rFonts w:hint="eastAsia" w:ascii="宋体" w:hAnsi="宋体" w:eastAsia="宋体"/>
              </w:rPr>
              <w:t>型号</w:t>
            </w:r>
          </w:p>
        </w:tc>
        <w:tc>
          <w:tcPr>
            <w:tcW w:w="428" w:type="pct"/>
            <w:shd w:val="clear" w:color="auto" w:fill="auto"/>
            <w:noWrap/>
            <w:vAlign w:val="center"/>
          </w:tcPr>
          <w:p w14:paraId="3DEE698E">
            <w:pPr>
              <w:jc w:val="left"/>
              <w:rPr>
                <w:rFonts w:ascii="宋体" w:hAnsi="宋体" w:eastAsia="宋体"/>
              </w:rPr>
            </w:pPr>
            <w:r>
              <w:rPr>
                <w:rFonts w:hint="eastAsia" w:ascii="宋体" w:hAnsi="宋体" w:eastAsia="宋体"/>
              </w:rPr>
              <w:t>品牌</w:t>
            </w:r>
          </w:p>
        </w:tc>
        <w:tc>
          <w:tcPr>
            <w:tcW w:w="425" w:type="pct"/>
            <w:shd w:val="clear" w:color="auto" w:fill="auto"/>
            <w:noWrap/>
            <w:vAlign w:val="center"/>
          </w:tcPr>
          <w:p w14:paraId="4C9F5030">
            <w:pPr>
              <w:jc w:val="left"/>
              <w:rPr>
                <w:rFonts w:ascii="宋体" w:hAnsi="宋体" w:eastAsia="宋体"/>
              </w:rPr>
            </w:pPr>
            <w:r>
              <w:rPr>
                <w:rFonts w:hint="eastAsia" w:ascii="宋体" w:hAnsi="宋体" w:eastAsia="宋体"/>
              </w:rPr>
              <w:t>数量</w:t>
            </w:r>
          </w:p>
        </w:tc>
        <w:tc>
          <w:tcPr>
            <w:tcW w:w="2951" w:type="pct"/>
            <w:shd w:val="clear" w:color="auto" w:fill="auto"/>
            <w:noWrap/>
            <w:vAlign w:val="center"/>
          </w:tcPr>
          <w:p w14:paraId="4ED0C1D1">
            <w:pPr>
              <w:jc w:val="left"/>
              <w:rPr>
                <w:rFonts w:ascii="宋体" w:hAnsi="宋体" w:eastAsia="宋体"/>
              </w:rPr>
            </w:pPr>
            <w:r>
              <w:rPr>
                <w:rFonts w:hint="eastAsia" w:ascii="宋体" w:hAnsi="宋体" w:eastAsia="宋体"/>
              </w:rPr>
              <w:t>需求</w:t>
            </w:r>
          </w:p>
        </w:tc>
      </w:tr>
      <w:tr w14:paraId="68E7304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restart"/>
            <w:shd w:val="clear" w:color="auto" w:fill="auto"/>
            <w:noWrap/>
            <w:vAlign w:val="center"/>
          </w:tcPr>
          <w:p w14:paraId="4BBE6572">
            <w:pPr>
              <w:jc w:val="left"/>
              <w:rPr>
                <w:rFonts w:ascii="宋体" w:hAnsi="宋体" w:eastAsia="宋体"/>
              </w:rPr>
            </w:pPr>
            <w:r>
              <w:rPr>
                <w:rFonts w:hint="eastAsia" w:ascii="宋体" w:hAnsi="宋体" w:eastAsia="宋体"/>
              </w:rPr>
              <w:t>1</w:t>
            </w:r>
          </w:p>
        </w:tc>
        <w:tc>
          <w:tcPr>
            <w:tcW w:w="428" w:type="pct"/>
            <w:vMerge w:val="restart"/>
            <w:shd w:val="clear" w:color="auto" w:fill="auto"/>
            <w:noWrap/>
            <w:vAlign w:val="center"/>
          </w:tcPr>
          <w:p w14:paraId="14F60654">
            <w:pPr>
              <w:jc w:val="left"/>
              <w:rPr>
                <w:rFonts w:ascii="宋体" w:hAnsi="宋体" w:eastAsia="宋体"/>
              </w:rPr>
            </w:pPr>
            <w:r>
              <w:rPr>
                <w:rFonts w:hint="eastAsia" w:ascii="宋体" w:hAnsi="宋体" w:eastAsia="宋体"/>
              </w:rPr>
              <w:t>出口</w:t>
            </w:r>
          </w:p>
        </w:tc>
        <w:tc>
          <w:tcPr>
            <w:tcW w:w="428" w:type="pct"/>
            <w:vMerge w:val="restart"/>
            <w:shd w:val="clear" w:color="auto" w:fill="auto"/>
            <w:noWrap/>
            <w:vAlign w:val="center"/>
          </w:tcPr>
          <w:p w14:paraId="105DA075">
            <w:pPr>
              <w:jc w:val="left"/>
              <w:rPr>
                <w:rFonts w:ascii="宋体" w:hAnsi="宋体" w:eastAsia="宋体"/>
              </w:rPr>
            </w:pPr>
            <w:r>
              <w:rPr>
                <w:rFonts w:hint="eastAsia" w:ascii="宋体" w:hAnsi="宋体" w:eastAsia="宋体"/>
              </w:rPr>
              <w:t>pb-</w:t>
            </w:r>
            <w:r>
              <w:rPr>
                <w:rFonts w:ascii="宋体" w:hAnsi="宋体" w:eastAsia="宋体"/>
              </w:rPr>
              <w:t>2</w:t>
            </w:r>
            <w:r>
              <w:rPr>
                <w:rFonts w:hint="eastAsia" w:ascii="宋体" w:hAnsi="宋体" w:eastAsia="宋体"/>
              </w:rPr>
              <w:t>6000</w:t>
            </w:r>
            <w:r>
              <w:rPr>
                <w:rFonts w:ascii="宋体" w:hAnsi="宋体" w:eastAsia="宋体"/>
              </w:rPr>
              <w:t>-hhlm</w:t>
            </w:r>
          </w:p>
        </w:tc>
        <w:tc>
          <w:tcPr>
            <w:tcW w:w="428" w:type="pct"/>
            <w:vMerge w:val="restart"/>
            <w:shd w:val="clear" w:color="auto" w:fill="auto"/>
            <w:noWrap/>
            <w:vAlign w:val="center"/>
          </w:tcPr>
          <w:p w14:paraId="7CD1EE73">
            <w:pPr>
              <w:jc w:val="left"/>
              <w:rPr>
                <w:rFonts w:ascii="宋体" w:hAnsi="宋体" w:eastAsia="宋体"/>
              </w:rPr>
            </w:pPr>
            <w:r>
              <w:rPr>
                <w:rFonts w:hint="eastAsia" w:ascii="宋体" w:hAnsi="宋体" w:eastAsia="宋体"/>
              </w:rPr>
              <w:t>Panabit</w:t>
            </w:r>
          </w:p>
        </w:tc>
        <w:tc>
          <w:tcPr>
            <w:tcW w:w="425" w:type="pct"/>
            <w:vMerge w:val="restart"/>
            <w:shd w:val="clear" w:color="auto" w:fill="auto"/>
            <w:noWrap/>
            <w:vAlign w:val="center"/>
          </w:tcPr>
          <w:p w14:paraId="4D1C23C9">
            <w:pPr>
              <w:jc w:val="left"/>
              <w:rPr>
                <w:rFonts w:ascii="宋体" w:hAnsi="宋体" w:eastAsia="宋体"/>
              </w:rPr>
            </w:pPr>
            <w:r>
              <w:rPr>
                <w:rFonts w:hint="eastAsia" w:ascii="宋体" w:hAnsi="宋体" w:eastAsia="宋体"/>
              </w:rPr>
              <w:t>2台</w:t>
            </w:r>
          </w:p>
        </w:tc>
        <w:tc>
          <w:tcPr>
            <w:tcW w:w="2951" w:type="pct"/>
            <w:shd w:val="clear" w:color="auto" w:fill="auto"/>
            <w:vAlign w:val="center"/>
          </w:tcPr>
          <w:p w14:paraId="1DA5C3AB">
            <w:pPr>
              <w:jc w:val="left"/>
              <w:rPr>
                <w:rFonts w:ascii="宋体" w:hAnsi="宋体" w:eastAsia="宋体"/>
              </w:rPr>
            </w:pPr>
            <w:r>
              <w:rPr>
                <w:rFonts w:hint="eastAsia" w:ascii="宋体" w:hAnsi="宋体" w:eastAsia="宋体"/>
              </w:rPr>
              <w:t>1.更新下来后用于合工大宣城校区出口，并运输到位部署调试上线；</w:t>
            </w:r>
          </w:p>
        </w:tc>
      </w:tr>
      <w:tr w14:paraId="79E458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continue"/>
            <w:shd w:val="clear" w:color="auto" w:fill="auto"/>
            <w:vAlign w:val="center"/>
          </w:tcPr>
          <w:p w14:paraId="3B5E8A13">
            <w:pPr>
              <w:jc w:val="left"/>
              <w:rPr>
                <w:rFonts w:ascii="宋体" w:hAnsi="宋体" w:eastAsia="宋体"/>
              </w:rPr>
            </w:pPr>
          </w:p>
        </w:tc>
        <w:tc>
          <w:tcPr>
            <w:tcW w:w="428" w:type="pct"/>
            <w:vMerge w:val="continue"/>
            <w:shd w:val="clear" w:color="auto" w:fill="auto"/>
            <w:vAlign w:val="center"/>
          </w:tcPr>
          <w:p w14:paraId="602C5F60">
            <w:pPr>
              <w:jc w:val="left"/>
              <w:rPr>
                <w:rFonts w:ascii="宋体" w:hAnsi="宋体" w:eastAsia="宋体"/>
              </w:rPr>
            </w:pPr>
          </w:p>
        </w:tc>
        <w:tc>
          <w:tcPr>
            <w:tcW w:w="428" w:type="pct"/>
            <w:vMerge w:val="continue"/>
            <w:shd w:val="clear" w:color="auto" w:fill="auto"/>
            <w:vAlign w:val="center"/>
          </w:tcPr>
          <w:p w14:paraId="09A775C2">
            <w:pPr>
              <w:jc w:val="left"/>
              <w:rPr>
                <w:rFonts w:ascii="宋体" w:hAnsi="宋体" w:eastAsia="宋体"/>
              </w:rPr>
            </w:pPr>
          </w:p>
        </w:tc>
        <w:tc>
          <w:tcPr>
            <w:tcW w:w="428" w:type="pct"/>
            <w:vMerge w:val="continue"/>
            <w:shd w:val="clear" w:color="auto" w:fill="auto"/>
            <w:vAlign w:val="center"/>
          </w:tcPr>
          <w:p w14:paraId="54E02064">
            <w:pPr>
              <w:jc w:val="left"/>
              <w:rPr>
                <w:rFonts w:ascii="宋体" w:hAnsi="宋体" w:eastAsia="宋体"/>
              </w:rPr>
            </w:pPr>
          </w:p>
        </w:tc>
        <w:tc>
          <w:tcPr>
            <w:tcW w:w="425" w:type="pct"/>
            <w:vMerge w:val="continue"/>
            <w:shd w:val="clear" w:color="auto" w:fill="auto"/>
            <w:vAlign w:val="center"/>
          </w:tcPr>
          <w:p w14:paraId="40590FA8">
            <w:pPr>
              <w:jc w:val="left"/>
              <w:rPr>
                <w:rFonts w:ascii="宋体" w:hAnsi="宋体" w:eastAsia="宋体"/>
              </w:rPr>
            </w:pPr>
          </w:p>
        </w:tc>
        <w:tc>
          <w:tcPr>
            <w:tcW w:w="2951" w:type="pct"/>
            <w:shd w:val="clear" w:color="auto" w:fill="auto"/>
            <w:vAlign w:val="center"/>
          </w:tcPr>
          <w:p w14:paraId="705BEFB2">
            <w:pPr>
              <w:jc w:val="left"/>
              <w:rPr>
                <w:rFonts w:ascii="宋体" w:hAnsi="宋体" w:eastAsia="宋体"/>
              </w:rPr>
            </w:pPr>
            <w:r>
              <w:rPr>
                <w:rFonts w:hint="eastAsia" w:ascii="宋体" w:hAnsi="宋体" w:eastAsia="宋体"/>
              </w:rPr>
              <w:t>2.扩容：每台设备的接口新增2个40G口及相应的模块等上线所需的配件；</w:t>
            </w:r>
          </w:p>
        </w:tc>
      </w:tr>
      <w:tr w14:paraId="1404BA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continue"/>
            <w:shd w:val="clear" w:color="auto" w:fill="auto"/>
            <w:vAlign w:val="center"/>
          </w:tcPr>
          <w:p w14:paraId="2548792D">
            <w:pPr>
              <w:jc w:val="left"/>
              <w:rPr>
                <w:rFonts w:ascii="宋体" w:hAnsi="宋体" w:eastAsia="宋体"/>
              </w:rPr>
            </w:pPr>
          </w:p>
        </w:tc>
        <w:tc>
          <w:tcPr>
            <w:tcW w:w="428" w:type="pct"/>
            <w:vMerge w:val="continue"/>
            <w:shd w:val="clear" w:color="auto" w:fill="auto"/>
            <w:vAlign w:val="center"/>
          </w:tcPr>
          <w:p w14:paraId="610E2817">
            <w:pPr>
              <w:jc w:val="left"/>
              <w:rPr>
                <w:rFonts w:ascii="宋体" w:hAnsi="宋体" w:eastAsia="宋体"/>
              </w:rPr>
            </w:pPr>
          </w:p>
        </w:tc>
        <w:tc>
          <w:tcPr>
            <w:tcW w:w="428" w:type="pct"/>
            <w:vMerge w:val="continue"/>
            <w:shd w:val="clear" w:color="auto" w:fill="auto"/>
            <w:vAlign w:val="center"/>
          </w:tcPr>
          <w:p w14:paraId="2010216D">
            <w:pPr>
              <w:jc w:val="left"/>
              <w:rPr>
                <w:rFonts w:ascii="宋体" w:hAnsi="宋体" w:eastAsia="宋体"/>
              </w:rPr>
            </w:pPr>
          </w:p>
        </w:tc>
        <w:tc>
          <w:tcPr>
            <w:tcW w:w="428" w:type="pct"/>
            <w:vMerge w:val="continue"/>
            <w:shd w:val="clear" w:color="auto" w:fill="auto"/>
            <w:vAlign w:val="center"/>
          </w:tcPr>
          <w:p w14:paraId="2B094D1B">
            <w:pPr>
              <w:jc w:val="left"/>
              <w:rPr>
                <w:rFonts w:ascii="宋体" w:hAnsi="宋体" w:eastAsia="宋体"/>
              </w:rPr>
            </w:pPr>
          </w:p>
        </w:tc>
        <w:tc>
          <w:tcPr>
            <w:tcW w:w="425" w:type="pct"/>
            <w:vMerge w:val="continue"/>
            <w:shd w:val="clear" w:color="auto" w:fill="auto"/>
            <w:vAlign w:val="center"/>
          </w:tcPr>
          <w:p w14:paraId="7BC8B7C5">
            <w:pPr>
              <w:jc w:val="left"/>
              <w:rPr>
                <w:rFonts w:ascii="宋体" w:hAnsi="宋体" w:eastAsia="宋体"/>
              </w:rPr>
            </w:pPr>
          </w:p>
        </w:tc>
        <w:tc>
          <w:tcPr>
            <w:tcW w:w="2951" w:type="pct"/>
            <w:shd w:val="clear" w:color="auto" w:fill="auto"/>
            <w:vAlign w:val="center"/>
          </w:tcPr>
          <w:p w14:paraId="1BF81C4B">
            <w:pPr>
              <w:jc w:val="left"/>
              <w:rPr>
                <w:rFonts w:ascii="宋体" w:hAnsi="宋体" w:eastAsia="宋体"/>
              </w:rPr>
            </w:pPr>
            <w:r>
              <w:rPr>
                <w:rFonts w:hint="eastAsia" w:ascii="宋体" w:hAnsi="宋体" w:eastAsia="宋体"/>
              </w:rPr>
              <w:t>3.设备巡检：应定期对设备进行巡检，及时更新修补漏洞，频率不低于一季度1次。</w:t>
            </w:r>
          </w:p>
        </w:tc>
      </w:tr>
      <w:tr w14:paraId="35E2AB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restart"/>
            <w:shd w:val="clear" w:color="auto" w:fill="auto"/>
            <w:noWrap/>
            <w:vAlign w:val="center"/>
          </w:tcPr>
          <w:p w14:paraId="798C4BB8">
            <w:pPr>
              <w:jc w:val="left"/>
              <w:rPr>
                <w:rFonts w:ascii="宋体" w:hAnsi="宋体" w:eastAsia="宋体"/>
              </w:rPr>
            </w:pPr>
            <w:r>
              <w:rPr>
                <w:rFonts w:hint="eastAsia" w:ascii="宋体" w:hAnsi="宋体" w:eastAsia="宋体"/>
              </w:rPr>
              <w:t>2</w:t>
            </w:r>
          </w:p>
        </w:tc>
        <w:tc>
          <w:tcPr>
            <w:tcW w:w="428" w:type="pct"/>
            <w:vMerge w:val="restart"/>
            <w:shd w:val="clear" w:color="auto" w:fill="auto"/>
            <w:noWrap/>
            <w:vAlign w:val="center"/>
          </w:tcPr>
          <w:p w14:paraId="7946BA83">
            <w:pPr>
              <w:jc w:val="left"/>
              <w:rPr>
                <w:rFonts w:ascii="宋体" w:hAnsi="宋体" w:eastAsia="宋体"/>
              </w:rPr>
            </w:pPr>
            <w:r>
              <w:rPr>
                <w:rFonts w:hint="eastAsia" w:ascii="宋体" w:hAnsi="宋体" w:eastAsia="宋体"/>
              </w:rPr>
              <w:t>认证计费</w:t>
            </w:r>
          </w:p>
        </w:tc>
        <w:tc>
          <w:tcPr>
            <w:tcW w:w="428" w:type="pct"/>
            <w:vMerge w:val="restart"/>
            <w:shd w:val="clear" w:color="auto" w:fill="auto"/>
            <w:noWrap/>
            <w:vAlign w:val="center"/>
          </w:tcPr>
          <w:p w14:paraId="6DD19D86">
            <w:pPr>
              <w:jc w:val="left"/>
              <w:rPr>
                <w:rFonts w:ascii="宋体" w:hAnsi="宋体" w:eastAsia="宋体"/>
              </w:rPr>
            </w:pPr>
            <w:r>
              <w:rPr>
                <w:rFonts w:hint="eastAsia" w:ascii="宋体" w:hAnsi="宋体" w:eastAsia="宋体"/>
              </w:rPr>
              <w:t>2166</w:t>
            </w:r>
          </w:p>
        </w:tc>
        <w:tc>
          <w:tcPr>
            <w:tcW w:w="428" w:type="pct"/>
            <w:vMerge w:val="restart"/>
            <w:shd w:val="clear" w:color="auto" w:fill="auto"/>
            <w:noWrap/>
            <w:vAlign w:val="center"/>
          </w:tcPr>
          <w:p w14:paraId="23EFF0F9">
            <w:pPr>
              <w:jc w:val="left"/>
              <w:rPr>
                <w:rFonts w:ascii="宋体" w:hAnsi="宋体" w:eastAsia="宋体"/>
              </w:rPr>
            </w:pPr>
            <w:r>
              <w:rPr>
                <w:rFonts w:hint="eastAsia" w:ascii="宋体" w:hAnsi="宋体" w:eastAsia="宋体"/>
              </w:rPr>
              <w:t>Dr.com</w:t>
            </w:r>
          </w:p>
        </w:tc>
        <w:tc>
          <w:tcPr>
            <w:tcW w:w="425" w:type="pct"/>
            <w:vMerge w:val="restart"/>
            <w:shd w:val="clear" w:color="auto" w:fill="auto"/>
            <w:noWrap/>
            <w:vAlign w:val="center"/>
          </w:tcPr>
          <w:p w14:paraId="41312DCB">
            <w:pPr>
              <w:jc w:val="left"/>
              <w:rPr>
                <w:rFonts w:ascii="宋体" w:hAnsi="宋体" w:eastAsia="宋体"/>
              </w:rPr>
            </w:pPr>
            <w:r>
              <w:rPr>
                <w:rFonts w:hint="eastAsia" w:ascii="宋体" w:hAnsi="宋体" w:eastAsia="宋体"/>
              </w:rPr>
              <w:t>2台</w:t>
            </w:r>
          </w:p>
        </w:tc>
        <w:tc>
          <w:tcPr>
            <w:tcW w:w="2951" w:type="pct"/>
            <w:shd w:val="clear" w:color="auto" w:fill="auto"/>
            <w:vAlign w:val="center"/>
          </w:tcPr>
          <w:p w14:paraId="5C2C42B5">
            <w:pPr>
              <w:jc w:val="left"/>
              <w:rPr>
                <w:rFonts w:ascii="宋体" w:hAnsi="宋体" w:eastAsia="宋体"/>
              </w:rPr>
            </w:pPr>
            <w:r>
              <w:rPr>
                <w:rFonts w:hint="eastAsia" w:ascii="宋体" w:hAnsi="宋体" w:eastAsia="宋体"/>
              </w:rPr>
              <w:t>1.更新下来后用于合工大宣城校区出口，并运输到位部署调试上线；</w:t>
            </w:r>
          </w:p>
        </w:tc>
      </w:tr>
      <w:tr w14:paraId="36267F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continue"/>
            <w:shd w:val="clear" w:color="auto" w:fill="auto"/>
            <w:vAlign w:val="center"/>
          </w:tcPr>
          <w:p w14:paraId="782AF3B0">
            <w:pPr>
              <w:jc w:val="left"/>
              <w:rPr>
                <w:rFonts w:ascii="宋体" w:hAnsi="宋体" w:eastAsia="宋体"/>
              </w:rPr>
            </w:pPr>
          </w:p>
        </w:tc>
        <w:tc>
          <w:tcPr>
            <w:tcW w:w="428" w:type="pct"/>
            <w:vMerge w:val="continue"/>
            <w:shd w:val="clear" w:color="auto" w:fill="auto"/>
            <w:vAlign w:val="center"/>
          </w:tcPr>
          <w:p w14:paraId="700E8B55">
            <w:pPr>
              <w:jc w:val="left"/>
              <w:rPr>
                <w:rFonts w:ascii="宋体" w:hAnsi="宋体" w:eastAsia="宋体"/>
              </w:rPr>
            </w:pPr>
          </w:p>
        </w:tc>
        <w:tc>
          <w:tcPr>
            <w:tcW w:w="428" w:type="pct"/>
            <w:vMerge w:val="continue"/>
            <w:shd w:val="clear" w:color="auto" w:fill="auto"/>
            <w:vAlign w:val="center"/>
          </w:tcPr>
          <w:p w14:paraId="4152DB73">
            <w:pPr>
              <w:jc w:val="left"/>
              <w:rPr>
                <w:rFonts w:ascii="宋体" w:hAnsi="宋体" w:eastAsia="宋体"/>
              </w:rPr>
            </w:pPr>
          </w:p>
        </w:tc>
        <w:tc>
          <w:tcPr>
            <w:tcW w:w="428" w:type="pct"/>
            <w:vMerge w:val="continue"/>
            <w:shd w:val="clear" w:color="auto" w:fill="auto"/>
            <w:vAlign w:val="center"/>
          </w:tcPr>
          <w:p w14:paraId="53BEFEF4">
            <w:pPr>
              <w:jc w:val="left"/>
              <w:rPr>
                <w:rFonts w:ascii="宋体" w:hAnsi="宋体" w:eastAsia="宋体"/>
              </w:rPr>
            </w:pPr>
          </w:p>
        </w:tc>
        <w:tc>
          <w:tcPr>
            <w:tcW w:w="425" w:type="pct"/>
            <w:vMerge w:val="continue"/>
            <w:shd w:val="clear" w:color="auto" w:fill="auto"/>
            <w:vAlign w:val="center"/>
          </w:tcPr>
          <w:p w14:paraId="7275EFC4">
            <w:pPr>
              <w:jc w:val="left"/>
              <w:rPr>
                <w:rFonts w:ascii="宋体" w:hAnsi="宋体" w:eastAsia="宋体"/>
              </w:rPr>
            </w:pPr>
          </w:p>
        </w:tc>
        <w:tc>
          <w:tcPr>
            <w:tcW w:w="2951" w:type="pct"/>
            <w:shd w:val="clear" w:color="auto" w:fill="auto"/>
            <w:vAlign w:val="center"/>
          </w:tcPr>
          <w:p w14:paraId="6A33DB6D">
            <w:pPr>
              <w:jc w:val="left"/>
              <w:rPr>
                <w:rFonts w:ascii="宋体" w:hAnsi="宋体" w:eastAsia="宋体"/>
              </w:rPr>
            </w:pPr>
            <w:r>
              <w:rPr>
                <w:rFonts w:hint="eastAsia" w:ascii="宋体" w:hAnsi="宋体" w:eastAsia="宋体"/>
              </w:rPr>
              <w:t>2.宣城校区部署的平台应和合肥校区一致，并将合肥校区相应信息同步到宣城校区；</w:t>
            </w:r>
          </w:p>
        </w:tc>
      </w:tr>
      <w:tr w14:paraId="4F3FE1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6" w:type="pct"/>
            <w:vMerge w:val="continue"/>
            <w:shd w:val="clear" w:color="auto" w:fill="auto"/>
            <w:vAlign w:val="center"/>
          </w:tcPr>
          <w:p w14:paraId="7B5C2466">
            <w:pPr>
              <w:jc w:val="left"/>
              <w:rPr>
                <w:rFonts w:ascii="宋体" w:hAnsi="宋体" w:eastAsia="宋体"/>
              </w:rPr>
            </w:pPr>
          </w:p>
        </w:tc>
        <w:tc>
          <w:tcPr>
            <w:tcW w:w="428" w:type="pct"/>
            <w:vMerge w:val="continue"/>
            <w:shd w:val="clear" w:color="auto" w:fill="auto"/>
            <w:vAlign w:val="center"/>
          </w:tcPr>
          <w:p w14:paraId="3D0CCFF5">
            <w:pPr>
              <w:jc w:val="left"/>
              <w:rPr>
                <w:rFonts w:ascii="宋体" w:hAnsi="宋体" w:eastAsia="宋体"/>
              </w:rPr>
            </w:pPr>
          </w:p>
        </w:tc>
        <w:tc>
          <w:tcPr>
            <w:tcW w:w="428" w:type="pct"/>
            <w:vMerge w:val="continue"/>
            <w:shd w:val="clear" w:color="auto" w:fill="auto"/>
            <w:vAlign w:val="center"/>
          </w:tcPr>
          <w:p w14:paraId="4A884469">
            <w:pPr>
              <w:jc w:val="left"/>
              <w:rPr>
                <w:rFonts w:ascii="宋体" w:hAnsi="宋体" w:eastAsia="宋体"/>
              </w:rPr>
            </w:pPr>
          </w:p>
        </w:tc>
        <w:tc>
          <w:tcPr>
            <w:tcW w:w="428" w:type="pct"/>
            <w:vMerge w:val="continue"/>
            <w:shd w:val="clear" w:color="auto" w:fill="auto"/>
            <w:vAlign w:val="center"/>
          </w:tcPr>
          <w:p w14:paraId="5BACFCDD">
            <w:pPr>
              <w:jc w:val="left"/>
              <w:rPr>
                <w:rFonts w:ascii="宋体" w:hAnsi="宋体" w:eastAsia="宋体"/>
              </w:rPr>
            </w:pPr>
          </w:p>
        </w:tc>
        <w:tc>
          <w:tcPr>
            <w:tcW w:w="425" w:type="pct"/>
            <w:vMerge w:val="continue"/>
            <w:shd w:val="clear" w:color="auto" w:fill="auto"/>
            <w:vAlign w:val="center"/>
          </w:tcPr>
          <w:p w14:paraId="4D0C4FF4">
            <w:pPr>
              <w:jc w:val="left"/>
              <w:rPr>
                <w:rFonts w:ascii="宋体" w:hAnsi="宋体" w:eastAsia="宋体"/>
              </w:rPr>
            </w:pPr>
          </w:p>
        </w:tc>
        <w:tc>
          <w:tcPr>
            <w:tcW w:w="2951" w:type="pct"/>
            <w:shd w:val="clear" w:color="auto" w:fill="auto"/>
            <w:vAlign w:val="center"/>
          </w:tcPr>
          <w:p w14:paraId="36BAD7E2">
            <w:pPr>
              <w:jc w:val="left"/>
              <w:rPr>
                <w:rFonts w:ascii="宋体" w:hAnsi="宋体" w:eastAsia="宋体"/>
              </w:rPr>
            </w:pPr>
            <w:r>
              <w:rPr>
                <w:rFonts w:hint="eastAsia" w:ascii="宋体" w:hAnsi="宋体" w:eastAsia="宋体"/>
              </w:rPr>
              <w:t>3.设备巡检：应定期对设备进行巡检，及时更新修补漏洞，频率不低于一季度1次。</w:t>
            </w:r>
          </w:p>
        </w:tc>
      </w:tr>
    </w:tbl>
    <w:p w14:paraId="621BD0E5">
      <w:pPr>
        <w:pStyle w:val="19"/>
        <w:ind w:firstLine="480"/>
      </w:pPr>
    </w:p>
    <w:p w14:paraId="33E11191">
      <w:pPr>
        <w:pStyle w:val="3"/>
        <w:keepNext w:val="0"/>
        <w:keepLines w:val="0"/>
        <w:spacing w:line="240" w:lineRule="auto"/>
        <w:ind w:left="900" w:hanging="900"/>
        <w:rPr>
          <w:rFonts w:ascii="宋体" w:hAnsi="宋体" w:eastAsia="宋体" w:cs="宋体"/>
          <w:kern w:val="44"/>
          <w:sz w:val="24"/>
          <w:szCs w:val="24"/>
        </w:rPr>
      </w:pPr>
      <w:bookmarkStart w:id="172" w:name="_Toc19351"/>
      <w:bookmarkStart w:id="173" w:name="_Toc14341"/>
      <w:r>
        <w:rPr>
          <w:rFonts w:hint="eastAsia" w:ascii="宋体" w:hAnsi="宋体" w:eastAsia="宋体" w:cs="宋体"/>
          <w:kern w:val="44"/>
          <w:sz w:val="24"/>
          <w:szCs w:val="24"/>
        </w:rPr>
        <w:t>3.</w:t>
      </w:r>
      <w:r>
        <w:rPr>
          <w:rFonts w:hint="eastAsia" w:ascii="宋体" w:hAnsi="宋体" w:eastAsia="宋体" w:cs="宋体"/>
          <w:kern w:val="44"/>
          <w:sz w:val="24"/>
          <w:szCs w:val="24"/>
          <w:lang w:val="en-US" w:eastAsia="zh-CN"/>
        </w:rPr>
        <w:t>2</w:t>
      </w:r>
      <w:r>
        <w:rPr>
          <w:rFonts w:hint="eastAsia" w:ascii="宋体" w:hAnsi="宋体" w:eastAsia="宋体" w:cs="宋体"/>
          <w:kern w:val="44"/>
          <w:sz w:val="24"/>
          <w:szCs w:val="24"/>
        </w:rPr>
        <w:t>设备参数</w:t>
      </w:r>
      <w:bookmarkEnd w:id="172"/>
      <w:bookmarkEnd w:id="173"/>
    </w:p>
    <w:p w14:paraId="200A3C9B">
      <w:pPr>
        <w:spacing w:line="300" w:lineRule="auto"/>
        <w:ind w:firstLine="420" w:firstLineChars="200"/>
        <w:rPr>
          <w:rFonts w:ascii="宋体" w:hAnsi="宋体" w:eastAsia="宋体" w:cs="宋体"/>
        </w:rPr>
      </w:pPr>
      <w:r>
        <w:rPr>
          <w:rFonts w:hint="eastAsia" w:ascii="宋体" w:hAnsi="宋体" w:eastAsia="宋体" w:cs="宋体"/>
        </w:rPr>
        <w:t>所有技术参数及要求均为单台必须提供的指标。投标人须自行保证响应内容的真实性。所有条目允许正响应。要求逐条响应具体细节。所有响应必须以满足本标书的“设计规范”为前提。</w:t>
      </w:r>
    </w:p>
    <w:p w14:paraId="10F16626">
      <w:pPr>
        <w:pStyle w:val="11"/>
        <w:spacing w:line="300" w:lineRule="auto"/>
        <w:ind w:firstLine="480"/>
        <w:rPr>
          <w:rFonts w:ascii="宋体" w:hAnsi="宋体" w:eastAsia="宋体" w:cs="宋体"/>
          <w:kern w:val="2"/>
          <w:sz w:val="21"/>
          <w:szCs w:val="24"/>
        </w:rPr>
      </w:pPr>
      <w:r>
        <w:rPr>
          <w:rFonts w:hint="eastAsia" w:ascii="宋体" w:hAnsi="宋体" w:eastAsia="宋体" w:cs="宋体"/>
          <w:kern w:val="2"/>
          <w:sz w:val="21"/>
          <w:szCs w:val="24"/>
        </w:rPr>
        <w:t>各标包涉及利旧需求的，请参照“通用要求”的“设备利旧”要求，投标即视为同意利旧需求。</w:t>
      </w:r>
    </w:p>
    <w:p w14:paraId="44B469D2">
      <w:pPr>
        <w:spacing w:line="300" w:lineRule="auto"/>
        <w:rPr>
          <w:rFonts w:ascii="宋体" w:hAnsi="宋体" w:eastAsia="宋体" w:cs="宋体"/>
          <w:szCs w:val="24"/>
        </w:rPr>
      </w:pPr>
      <w:r>
        <w:rPr>
          <w:rFonts w:hint="eastAsia" w:ascii="宋体" w:hAnsi="宋体" w:eastAsia="宋体" w:cs="宋体"/>
          <w:szCs w:val="24"/>
        </w:rPr>
        <w:t>服务年限根据我校实际需求，统一要求为5年免费质保。</w:t>
      </w:r>
    </w:p>
    <w:p w14:paraId="71E4AA64">
      <w:pPr>
        <w:spacing w:line="300" w:lineRule="auto"/>
        <w:ind w:firstLine="420" w:firstLineChars="200"/>
        <w:rPr>
          <w:rFonts w:ascii="宋体" w:hAnsi="宋体" w:eastAsia="宋体" w:cs="宋体"/>
          <w:szCs w:val="24"/>
        </w:rPr>
      </w:pPr>
      <w:r>
        <w:rPr>
          <w:rFonts w:hint="eastAsia" w:ascii="宋体" w:hAnsi="宋体" w:eastAsia="宋体" w:cs="宋体"/>
          <w:szCs w:val="24"/>
        </w:rPr>
        <w:t>我校有合肥屯溪路校区、翡翠校区、六安路校区、宣城校区等多个校区，必须根据实际需要将设备部署到指定校区。</w:t>
      </w:r>
    </w:p>
    <w:p w14:paraId="1AE5B606">
      <w:pPr>
        <w:pStyle w:val="4"/>
        <w:keepNext w:val="0"/>
        <w:keepLines w:val="0"/>
        <w:spacing w:line="300" w:lineRule="auto"/>
        <w:rPr>
          <w:rFonts w:ascii="宋体" w:hAnsi="宋体" w:eastAsia="宋体" w:cs="宋体"/>
          <w:sz w:val="28"/>
          <w:szCs w:val="28"/>
        </w:rPr>
      </w:pPr>
      <w:r>
        <w:rPr>
          <w:rFonts w:hint="eastAsia" w:ascii="宋体" w:hAnsi="宋体" w:eastAsia="宋体" w:cs="宋体"/>
          <w:sz w:val="28"/>
          <w:szCs w:val="28"/>
        </w:rPr>
        <w:t>第3包：校园网辅助设备</w:t>
      </w:r>
    </w:p>
    <w:tbl>
      <w:tblPr>
        <w:tblStyle w:val="12"/>
        <w:tblW w:w="5000" w:type="pct"/>
        <w:tblInd w:w="0" w:type="dxa"/>
        <w:tblLayout w:type="fixed"/>
        <w:tblCellMar>
          <w:top w:w="0" w:type="dxa"/>
          <w:left w:w="108" w:type="dxa"/>
          <w:bottom w:w="0" w:type="dxa"/>
          <w:right w:w="108" w:type="dxa"/>
        </w:tblCellMar>
      </w:tblPr>
      <w:tblGrid>
        <w:gridCol w:w="453"/>
        <w:gridCol w:w="926"/>
        <w:gridCol w:w="7653"/>
        <w:gridCol w:w="930"/>
      </w:tblGrid>
      <w:tr w14:paraId="3D314A81">
        <w:tblPrEx>
          <w:tblCellMar>
            <w:top w:w="0" w:type="dxa"/>
            <w:left w:w="108" w:type="dxa"/>
            <w:bottom w:w="0" w:type="dxa"/>
            <w:right w:w="108" w:type="dxa"/>
          </w:tblCellMar>
        </w:tblPrEx>
        <w:trPr>
          <w:cantSplit/>
          <w:tblHeader/>
        </w:trPr>
        <w:tc>
          <w:tcPr>
            <w:tcW w:w="227" w:type="pct"/>
            <w:tcBorders>
              <w:top w:val="single" w:color="000000" w:sz="6" w:space="0"/>
              <w:left w:val="single" w:color="auto" w:sz="6" w:space="0"/>
              <w:bottom w:val="single" w:color="000000" w:sz="6" w:space="0"/>
              <w:right w:val="single" w:color="000000" w:sz="4" w:space="0"/>
            </w:tcBorders>
            <w:shd w:val="clear" w:color="auto" w:fill="F1F1F1" w:themeFill="background1" w:themeFillShade="F2"/>
            <w:vAlign w:val="center"/>
          </w:tcPr>
          <w:p w14:paraId="4E1BAC25">
            <w:pPr>
              <w:snapToGrid w:val="0"/>
              <w:contextualSpacing/>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464" w:type="pct"/>
            <w:tcBorders>
              <w:top w:val="single" w:color="000000" w:sz="6" w:space="0"/>
              <w:left w:val="single" w:color="000000" w:sz="4" w:space="0"/>
              <w:bottom w:val="single" w:color="000000" w:sz="6" w:space="0"/>
              <w:right w:val="single" w:color="000000" w:sz="4" w:space="0"/>
            </w:tcBorders>
            <w:shd w:val="clear" w:color="auto" w:fill="F1F1F1" w:themeFill="background1" w:themeFillShade="F2"/>
            <w:vAlign w:val="center"/>
          </w:tcPr>
          <w:p w14:paraId="55FF8BEE">
            <w:pPr>
              <w:snapToGrid w:val="0"/>
              <w:ind w:left="-107" w:leftChars="-51"/>
              <w:contextualSpacing/>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货物名称</w:t>
            </w:r>
          </w:p>
        </w:tc>
        <w:tc>
          <w:tcPr>
            <w:tcW w:w="3840" w:type="pct"/>
            <w:tcBorders>
              <w:top w:val="single" w:color="000000" w:sz="6" w:space="0"/>
              <w:left w:val="single" w:color="000000" w:sz="4" w:space="0"/>
              <w:bottom w:val="single" w:color="000000" w:sz="6" w:space="0"/>
              <w:right w:val="single" w:color="000000" w:sz="4" w:space="0"/>
            </w:tcBorders>
            <w:shd w:val="clear" w:color="auto" w:fill="F1F1F1" w:themeFill="background1" w:themeFillShade="F2"/>
            <w:vAlign w:val="center"/>
          </w:tcPr>
          <w:p w14:paraId="5D0C1713">
            <w:pPr>
              <w:snapToGrid w:val="0"/>
              <w:contextualSpacing/>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技术参数及要求</w:t>
            </w:r>
          </w:p>
        </w:tc>
        <w:tc>
          <w:tcPr>
            <w:tcW w:w="466" w:type="pct"/>
            <w:tcBorders>
              <w:top w:val="single" w:color="000000" w:sz="6" w:space="0"/>
              <w:left w:val="single" w:color="000000" w:sz="4" w:space="0"/>
              <w:bottom w:val="single" w:color="000000" w:sz="6" w:space="0"/>
              <w:right w:val="single" w:color="auto" w:sz="6" w:space="0"/>
            </w:tcBorders>
            <w:shd w:val="clear" w:color="auto" w:fill="F1F1F1" w:themeFill="background1" w:themeFillShade="F2"/>
            <w:vAlign w:val="center"/>
          </w:tcPr>
          <w:p w14:paraId="51F3C13C">
            <w:pPr>
              <w:snapToGrid w:val="0"/>
              <w:contextualSpacing/>
              <w:jc w:val="center"/>
              <w:textAlignment w:val="center"/>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数量</w:t>
            </w:r>
          </w:p>
        </w:tc>
      </w:tr>
      <w:tr w14:paraId="44356EB5">
        <w:tblPrEx>
          <w:tblCellMar>
            <w:top w:w="0" w:type="dxa"/>
            <w:left w:w="108" w:type="dxa"/>
            <w:bottom w:w="0" w:type="dxa"/>
            <w:right w:w="108" w:type="dxa"/>
          </w:tblCellMar>
        </w:tblPrEx>
        <w:trPr>
          <w:cantSplit/>
          <w:tblHeader/>
        </w:trPr>
        <w:tc>
          <w:tcPr>
            <w:tcW w:w="227" w:type="pct"/>
            <w:vMerge w:val="restart"/>
            <w:tcBorders>
              <w:top w:val="single" w:color="auto" w:sz="4" w:space="0"/>
              <w:left w:val="single" w:color="auto" w:sz="6" w:space="0"/>
              <w:right w:val="single" w:color="000000" w:sz="4" w:space="0"/>
            </w:tcBorders>
            <w:shd w:val="clear" w:color="auto" w:fill="auto"/>
            <w:vAlign w:val="center"/>
          </w:tcPr>
          <w:p w14:paraId="27278BD6">
            <w:pPr>
              <w:snapToGrid w:val="0"/>
              <w:contextualSpacing/>
              <w:jc w:val="center"/>
              <w:textAlignment w:val="center"/>
              <w:rPr>
                <w:rFonts w:hint="eastAsia" w:ascii="宋体" w:hAnsi="宋体" w:eastAsia="宋体" w:cs="宋体"/>
                <w:color w:val="000000"/>
                <w:kern w:val="0"/>
                <w:szCs w:val="21"/>
                <w:highlight w:val="none"/>
                <w:lang w:val="en-US" w:eastAsia="zh-CN" w:bidi="ar"/>
              </w:rPr>
            </w:pPr>
            <w:r>
              <w:rPr>
                <w:rFonts w:hint="eastAsia" w:ascii="宋体" w:hAnsi="宋体" w:eastAsia="宋体" w:cs="宋体"/>
                <w:color w:val="000000"/>
                <w:kern w:val="0"/>
                <w:szCs w:val="21"/>
                <w:highlight w:val="none"/>
                <w:lang w:val="en-US" w:eastAsia="zh-CN" w:bidi="ar"/>
              </w:rPr>
              <w:t>1</w:t>
            </w:r>
          </w:p>
        </w:tc>
        <w:tc>
          <w:tcPr>
            <w:tcW w:w="464" w:type="pct"/>
            <w:vMerge w:val="restart"/>
            <w:tcBorders>
              <w:top w:val="single" w:color="auto" w:sz="4" w:space="0"/>
              <w:left w:val="single" w:color="000000" w:sz="4" w:space="0"/>
              <w:right w:val="single" w:color="000000" w:sz="4" w:space="0"/>
            </w:tcBorders>
            <w:shd w:val="clear" w:color="auto" w:fill="auto"/>
            <w:vAlign w:val="center"/>
          </w:tcPr>
          <w:p w14:paraId="1077F082">
            <w:pPr>
              <w:snapToGrid w:val="0"/>
              <w:ind w:left="-107" w:leftChars="-51"/>
              <w:contextualSpacing/>
              <w:jc w:val="left"/>
              <w:textAlignment w:val="center"/>
              <w:rPr>
                <w:rFonts w:ascii="宋体" w:hAnsi="宋体" w:eastAsia="宋体" w:cs="宋体"/>
                <w:color w:val="000000"/>
                <w:kern w:val="0"/>
                <w:szCs w:val="21"/>
                <w:highlight w:val="none"/>
                <w:lang w:bidi="ar"/>
              </w:rPr>
            </w:pPr>
            <w:r>
              <w:rPr>
                <w:rFonts w:hint="eastAsia" w:ascii="宋体" w:hAnsi="宋体" w:eastAsia="宋体" w:cs="宋体"/>
                <w:b/>
                <w:bCs/>
                <w:kern w:val="0"/>
                <w:szCs w:val="21"/>
                <w:highlight w:val="none"/>
              </w:rPr>
              <w:t>▲</w:t>
            </w:r>
            <w:r>
              <w:rPr>
                <w:rFonts w:hint="eastAsia" w:ascii="宋体" w:hAnsi="宋体" w:eastAsia="宋体" w:cs="宋体"/>
                <w:kern w:val="0"/>
                <w:szCs w:val="21"/>
                <w:highlight w:val="none"/>
                <w:lang w:bidi="ar"/>
              </w:rPr>
              <w:t>校园网出口设备</w:t>
            </w: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53E59C3F">
            <w:pPr>
              <w:snapToGrid w:val="0"/>
              <w:jc w:val="left"/>
              <w:rPr>
                <w:rFonts w:hint="eastAsia" w:ascii="宋体" w:hAnsi="宋体" w:eastAsia="宋体"/>
                <w:bCs/>
                <w:szCs w:val="21"/>
                <w:highlight w:val="none"/>
                <w:lang w:eastAsia="zh-CN" w:bidi="ar"/>
              </w:rPr>
            </w:pPr>
            <w:r>
              <w:rPr>
                <w:rFonts w:hint="eastAsia" w:ascii="宋体" w:hAnsi="宋体" w:eastAsia="宋体"/>
                <w:bCs/>
                <w:szCs w:val="21"/>
                <w:lang w:bidi="ar"/>
              </w:rPr>
              <w:t>1.★产品形态：采用主控板、接口板分离架构，主控板、接口板（包括接口子卡）均支持热插板；配备主控板卡2块，冗余交流电源与风扇满配；支持主-主，主-备模式和双机热备切换；</w:t>
            </w:r>
          </w:p>
        </w:tc>
        <w:tc>
          <w:tcPr>
            <w:tcW w:w="466" w:type="pct"/>
            <w:vMerge w:val="restart"/>
            <w:tcBorders>
              <w:top w:val="single" w:color="000000" w:sz="6" w:space="0"/>
              <w:left w:val="single" w:color="000000" w:sz="4" w:space="0"/>
              <w:right w:val="single" w:color="auto" w:sz="6" w:space="0"/>
            </w:tcBorders>
            <w:shd w:val="clear" w:color="auto" w:fill="auto"/>
            <w:vAlign w:val="center"/>
          </w:tcPr>
          <w:p w14:paraId="146F104B">
            <w:pPr>
              <w:snapToGrid w:val="0"/>
              <w:contextualSpacing/>
              <w:jc w:val="center"/>
              <w:rPr>
                <w:rFonts w:ascii="宋体" w:hAnsi="宋体" w:eastAsia="宋体"/>
                <w:b/>
                <w:bCs/>
                <w:szCs w:val="21"/>
                <w:lang w:bidi="ar"/>
              </w:rPr>
            </w:pPr>
            <w:r>
              <w:rPr>
                <w:rFonts w:hint="eastAsia" w:ascii="宋体" w:hAnsi="宋体" w:eastAsia="宋体"/>
                <w:szCs w:val="21"/>
                <w:lang w:bidi="ar"/>
              </w:rPr>
              <w:t>2台</w:t>
            </w:r>
          </w:p>
        </w:tc>
      </w:tr>
      <w:tr w14:paraId="321AC076">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0E09A8FB">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2930465D">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0CDB81F3">
            <w:pPr>
              <w:snapToGrid w:val="0"/>
              <w:jc w:val="left"/>
              <w:rPr>
                <w:rFonts w:hint="eastAsia" w:ascii="宋体" w:hAnsi="宋体" w:eastAsia="宋体"/>
                <w:bCs/>
                <w:szCs w:val="21"/>
                <w:lang w:eastAsia="zh-CN" w:bidi="ar"/>
              </w:rPr>
            </w:pPr>
            <w:r>
              <w:rPr>
                <w:rFonts w:ascii="宋体" w:hAnsi="宋体" w:eastAsia="宋体"/>
                <w:bCs/>
                <w:szCs w:val="21"/>
                <w:lang w:bidi="ar"/>
              </w:rPr>
              <w:t>2.</w:t>
            </w:r>
            <w:r>
              <w:rPr>
                <w:rFonts w:hint="eastAsia" w:ascii="宋体" w:hAnsi="宋体" w:eastAsia="宋体"/>
                <w:bCs/>
                <w:szCs w:val="21"/>
                <w:lang w:bidi="ar"/>
              </w:rPr>
              <w:t>★主要性能：设备吞吐量≥4</w:t>
            </w:r>
            <w:r>
              <w:rPr>
                <w:rFonts w:ascii="宋体" w:hAnsi="宋体" w:eastAsia="宋体"/>
                <w:bCs/>
                <w:szCs w:val="21"/>
                <w:lang w:bidi="ar"/>
              </w:rPr>
              <w:t>00</w:t>
            </w:r>
            <w:r>
              <w:rPr>
                <w:rFonts w:hint="eastAsia" w:ascii="宋体" w:hAnsi="宋体" w:eastAsia="宋体"/>
                <w:bCs/>
                <w:szCs w:val="21"/>
                <w:lang w:bidi="ar"/>
              </w:rPr>
              <w:t>Gbps，最大并发连接数≥1.</w:t>
            </w:r>
            <w:r>
              <w:rPr>
                <w:rFonts w:ascii="宋体" w:hAnsi="宋体" w:eastAsia="宋体"/>
                <w:bCs/>
                <w:szCs w:val="21"/>
                <w:lang w:bidi="ar"/>
              </w:rPr>
              <w:t>2</w:t>
            </w:r>
            <w:r>
              <w:rPr>
                <w:rFonts w:hint="eastAsia" w:ascii="宋体" w:hAnsi="宋体" w:eastAsia="宋体"/>
                <w:bCs/>
                <w:szCs w:val="21"/>
                <w:lang w:bidi="ar"/>
              </w:rPr>
              <w:t>亿，每秒新建连接数≥300万/秒；提供100G（可兼容40G）以太网光口≥8个、10G以太网光口24个；提供1</w:t>
            </w:r>
            <w:r>
              <w:rPr>
                <w:rFonts w:ascii="宋体" w:hAnsi="宋体" w:eastAsia="宋体"/>
                <w:bCs/>
                <w:szCs w:val="21"/>
                <w:lang w:bidi="ar"/>
              </w:rPr>
              <w:t>0</w:t>
            </w:r>
            <w:r>
              <w:rPr>
                <w:rFonts w:hint="eastAsia" w:ascii="宋体" w:hAnsi="宋体" w:eastAsia="宋体"/>
                <w:bCs/>
                <w:szCs w:val="21"/>
                <w:lang w:bidi="ar"/>
              </w:rPr>
              <w:t>个100G单模光模块，</w:t>
            </w:r>
            <w:r>
              <w:rPr>
                <w:rFonts w:ascii="宋体" w:hAnsi="宋体" w:eastAsia="宋体"/>
                <w:bCs/>
                <w:szCs w:val="21"/>
                <w:lang w:bidi="ar"/>
              </w:rPr>
              <w:t>10</w:t>
            </w:r>
            <w:r>
              <w:rPr>
                <w:rFonts w:hint="eastAsia" w:ascii="宋体" w:hAnsi="宋体" w:eastAsia="宋体"/>
                <w:bCs/>
                <w:szCs w:val="21"/>
                <w:lang w:bidi="ar"/>
              </w:rPr>
              <w:t>个40G单模光模块，</w:t>
            </w:r>
            <w:r>
              <w:rPr>
                <w:rFonts w:ascii="宋体" w:hAnsi="宋体" w:eastAsia="宋体"/>
                <w:bCs/>
                <w:szCs w:val="21"/>
                <w:lang w:bidi="ar"/>
              </w:rPr>
              <w:t>24</w:t>
            </w:r>
            <w:r>
              <w:rPr>
                <w:rFonts w:hint="eastAsia" w:ascii="宋体" w:hAnsi="宋体" w:eastAsia="宋体"/>
                <w:bCs/>
                <w:szCs w:val="21"/>
                <w:lang w:bidi="ar"/>
              </w:rPr>
              <w:t>个10G单模光模块，6个10G电口模块；</w:t>
            </w:r>
          </w:p>
        </w:tc>
        <w:tc>
          <w:tcPr>
            <w:tcW w:w="466" w:type="pct"/>
            <w:vMerge w:val="continue"/>
            <w:tcBorders>
              <w:left w:val="single" w:color="000000" w:sz="4" w:space="0"/>
              <w:right w:val="single" w:color="auto" w:sz="6" w:space="0"/>
            </w:tcBorders>
            <w:shd w:val="clear" w:color="auto" w:fill="auto"/>
            <w:vAlign w:val="center"/>
          </w:tcPr>
          <w:p w14:paraId="13D054C0">
            <w:pPr>
              <w:snapToGrid w:val="0"/>
              <w:contextualSpacing/>
              <w:jc w:val="center"/>
              <w:rPr>
                <w:rFonts w:ascii="宋体" w:hAnsi="宋体" w:eastAsia="宋体"/>
                <w:b/>
                <w:bCs/>
                <w:szCs w:val="21"/>
                <w:lang w:bidi="ar"/>
              </w:rPr>
            </w:pPr>
          </w:p>
        </w:tc>
      </w:tr>
      <w:tr w14:paraId="22FDD7A0">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1BD0C04F">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5C648872">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17D36665">
            <w:pPr>
              <w:snapToGrid w:val="0"/>
              <w:jc w:val="left"/>
              <w:rPr>
                <w:rFonts w:ascii="宋体" w:hAnsi="宋体" w:eastAsia="宋体"/>
                <w:bCs/>
                <w:szCs w:val="21"/>
                <w:highlight w:val="none"/>
                <w:lang w:bidi="ar"/>
              </w:rPr>
            </w:pPr>
            <w:r>
              <w:rPr>
                <w:rFonts w:hint="eastAsia" w:ascii="宋体" w:hAnsi="宋体" w:eastAsia="宋体"/>
                <w:bCs/>
                <w:szCs w:val="21"/>
                <w:lang w:bidi="ar"/>
              </w:rPr>
              <w:t>3</w:t>
            </w:r>
            <w:r>
              <w:rPr>
                <w:rFonts w:ascii="宋体" w:hAnsi="宋体" w:eastAsia="宋体"/>
                <w:bCs/>
                <w:szCs w:val="21"/>
                <w:lang w:bidi="ar"/>
              </w:rPr>
              <w:t>.</w:t>
            </w:r>
            <w:r>
              <w:rPr>
                <w:rFonts w:hint="eastAsia" w:ascii="宋体" w:hAnsi="宋体" w:eastAsia="宋体"/>
                <w:bCs/>
                <w:szCs w:val="21"/>
                <w:lang w:bidi="ar"/>
              </w:rPr>
              <w:t>支持透明网桥模式、路由模式、I</w:t>
            </w:r>
            <w:r>
              <w:rPr>
                <w:rFonts w:ascii="宋体" w:hAnsi="宋体" w:eastAsia="宋体"/>
                <w:bCs/>
                <w:szCs w:val="21"/>
                <w:lang w:bidi="ar"/>
              </w:rPr>
              <w:t>Pv4/IPv6</w:t>
            </w:r>
            <w:r>
              <w:rPr>
                <w:rFonts w:hint="eastAsia" w:ascii="宋体" w:hAnsi="宋体" w:eastAsia="宋体"/>
                <w:bCs/>
                <w:szCs w:val="21"/>
                <w:lang w:bidi="ar"/>
              </w:rPr>
              <w:t>NAT模式；</w:t>
            </w:r>
          </w:p>
        </w:tc>
        <w:tc>
          <w:tcPr>
            <w:tcW w:w="466" w:type="pct"/>
            <w:vMerge w:val="continue"/>
            <w:tcBorders>
              <w:left w:val="single" w:color="000000" w:sz="4" w:space="0"/>
              <w:right w:val="single" w:color="auto" w:sz="6" w:space="0"/>
            </w:tcBorders>
            <w:shd w:val="clear" w:color="auto" w:fill="auto"/>
            <w:vAlign w:val="center"/>
          </w:tcPr>
          <w:p w14:paraId="04A12338">
            <w:pPr>
              <w:snapToGrid w:val="0"/>
              <w:contextualSpacing/>
              <w:jc w:val="center"/>
              <w:rPr>
                <w:rFonts w:ascii="宋体" w:hAnsi="宋体" w:eastAsia="宋体"/>
                <w:b/>
                <w:bCs/>
                <w:szCs w:val="21"/>
                <w:lang w:bidi="ar"/>
              </w:rPr>
            </w:pPr>
          </w:p>
        </w:tc>
      </w:tr>
      <w:tr w14:paraId="53B3DB4A">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2DB7514C">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3B0882D">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55CDDD77">
            <w:pPr>
              <w:snapToGrid w:val="0"/>
              <w:jc w:val="left"/>
              <w:rPr>
                <w:rFonts w:hint="eastAsia" w:ascii="宋体" w:hAnsi="宋体" w:eastAsia="宋体"/>
                <w:bCs/>
                <w:szCs w:val="21"/>
                <w:lang w:eastAsia="zh-CN" w:bidi="ar"/>
              </w:rPr>
            </w:pPr>
            <w:r>
              <w:rPr>
                <w:rFonts w:ascii="宋体" w:hAnsi="宋体" w:eastAsia="宋体"/>
                <w:bCs/>
                <w:szCs w:val="21"/>
                <w:lang w:bidi="ar"/>
              </w:rPr>
              <w:t>4.</w:t>
            </w:r>
            <w:r>
              <w:rPr>
                <w:rFonts w:hint="eastAsia" w:ascii="宋体" w:hAnsi="宋体" w:eastAsia="宋体"/>
                <w:bCs/>
                <w:szCs w:val="21"/>
                <w:lang w:bidi="ar"/>
              </w:rPr>
              <w:t>扩展性要求：可通过增配业务板卡方式，同步增加设备接口、设备最大吞吐量、并发连接数，</w:t>
            </w:r>
            <w:r>
              <w:rPr>
                <w:rFonts w:hint="eastAsia" w:ascii="宋体" w:hAnsi="宋体" w:eastAsia="宋体"/>
                <w:bCs/>
                <w:color w:val="000000" w:themeColor="text1"/>
                <w:szCs w:val="21"/>
                <w:lang w:bidi="ar"/>
                <w14:textFill>
                  <w14:solidFill>
                    <w14:schemeClr w14:val="tx1"/>
                  </w14:solidFill>
                </w14:textFill>
              </w:rPr>
              <w:t>吞吐量可扩展至1.2Tbps，并发连接数可扩展至4亿，整机每秒新建连接数可扩展至1200万</w:t>
            </w:r>
            <w:r>
              <w:rPr>
                <w:rFonts w:hint="eastAsia" w:ascii="宋体" w:hAnsi="宋体" w:eastAsia="宋体"/>
                <w:bCs/>
                <w:szCs w:val="21"/>
                <w:lang w:bidi="ar"/>
              </w:rPr>
              <w:t>；</w:t>
            </w:r>
          </w:p>
        </w:tc>
        <w:tc>
          <w:tcPr>
            <w:tcW w:w="466" w:type="pct"/>
            <w:vMerge w:val="continue"/>
            <w:tcBorders>
              <w:left w:val="single" w:color="000000" w:sz="4" w:space="0"/>
              <w:right w:val="single" w:color="auto" w:sz="6" w:space="0"/>
            </w:tcBorders>
            <w:shd w:val="clear" w:color="auto" w:fill="auto"/>
            <w:vAlign w:val="center"/>
          </w:tcPr>
          <w:p w14:paraId="42C2229D">
            <w:pPr>
              <w:snapToGrid w:val="0"/>
              <w:contextualSpacing/>
              <w:jc w:val="center"/>
              <w:rPr>
                <w:rFonts w:ascii="宋体" w:hAnsi="宋体" w:eastAsia="宋体"/>
                <w:b/>
                <w:bCs/>
                <w:szCs w:val="21"/>
                <w:lang w:bidi="ar"/>
              </w:rPr>
            </w:pPr>
          </w:p>
        </w:tc>
      </w:tr>
      <w:tr w14:paraId="2413A1A5">
        <w:tblPrEx>
          <w:tblCellMar>
            <w:top w:w="0" w:type="dxa"/>
            <w:left w:w="108" w:type="dxa"/>
            <w:bottom w:w="0" w:type="dxa"/>
            <w:right w:w="108" w:type="dxa"/>
          </w:tblCellMar>
        </w:tblPrEx>
        <w:trPr>
          <w:cantSplit/>
          <w:trHeight w:val="158" w:hRule="atLeast"/>
          <w:tblHeader/>
        </w:trPr>
        <w:tc>
          <w:tcPr>
            <w:tcW w:w="227" w:type="pct"/>
            <w:vMerge w:val="continue"/>
            <w:tcBorders>
              <w:left w:val="single" w:color="auto" w:sz="6" w:space="0"/>
              <w:right w:val="single" w:color="000000" w:sz="4" w:space="0"/>
            </w:tcBorders>
            <w:shd w:val="clear" w:color="auto" w:fill="auto"/>
            <w:vAlign w:val="center"/>
          </w:tcPr>
          <w:p w14:paraId="571F628A">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02F59A82">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4366164E">
            <w:pPr>
              <w:snapToGrid w:val="0"/>
              <w:jc w:val="left"/>
              <w:rPr>
                <w:rFonts w:hint="eastAsia" w:ascii="宋体" w:hAnsi="宋体" w:eastAsia="宋体"/>
                <w:bCs/>
                <w:szCs w:val="21"/>
                <w:lang w:eastAsia="zh-CN" w:bidi="ar"/>
              </w:rPr>
            </w:pPr>
            <w:r>
              <w:rPr>
                <w:rFonts w:ascii="宋体" w:hAnsi="宋体" w:eastAsia="宋体"/>
                <w:bCs/>
                <w:szCs w:val="21"/>
                <w:lang w:bidi="ar"/>
              </w:rPr>
              <w:t>5.</w:t>
            </w:r>
            <w:r>
              <w:rPr>
                <w:rFonts w:hint="eastAsia" w:ascii="宋体" w:hAnsi="宋体" w:eastAsia="宋体"/>
                <w:bCs/>
                <w:szCs w:val="21"/>
                <w:lang w:bidi="ar"/>
              </w:rPr>
              <w:t>支持静态路由、策略路由、RIP、OSPF、BGP等路由协议；支持IPv6 协议栈、IPv6路由技术，支持IPv6 over IPv4隧道，6RD隧道技术；</w:t>
            </w:r>
          </w:p>
        </w:tc>
        <w:tc>
          <w:tcPr>
            <w:tcW w:w="466" w:type="pct"/>
            <w:vMerge w:val="continue"/>
            <w:tcBorders>
              <w:left w:val="single" w:color="000000" w:sz="4" w:space="0"/>
              <w:right w:val="single" w:color="auto" w:sz="6" w:space="0"/>
            </w:tcBorders>
            <w:shd w:val="clear" w:color="auto" w:fill="auto"/>
            <w:vAlign w:val="center"/>
          </w:tcPr>
          <w:p w14:paraId="60726DBE">
            <w:pPr>
              <w:snapToGrid w:val="0"/>
              <w:contextualSpacing/>
              <w:jc w:val="center"/>
              <w:rPr>
                <w:rFonts w:ascii="宋体" w:hAnsi="宋体" w:eastAsia="宋体"/>
                <w:b/>
                <w:bCs/>
                <w:szCs w:val="21"/>
                <w:lang w:bidi="ar"/>
              </w:rPr>
            </w:pPr>
          </w:p>
        </w:tc>
      </w:tr>
      <w:tr w14:paraId="633FB400">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2285BA68">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40A97F98">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02E2764A">
            <w:pPr>
              <w:snapToGrid w:val="0"/>
              <w:jc w:val="left"/>
              <w:rPr>
                <w:rFonts w:hint="eastAsia" w:ascii="宋体" w:hAnsi="宋体" w:eastAsia="宋体"/>
                <w:bCs/>
                <w:szCs w:val="21"/>
                <w:lang w:eastAsia="zh-CN" w:bidi="ar"/>
              </w:rPr>
            </w:pPr>
            <w:r>
              <w:rPr>
                <w:rFonts w:hint="eastAsia" w:ascii="宋体" w:hAnsi="宋体" w:eastAsia="宋体"/>
                <w:bCs/>
                <w:szCs w:val="21"/>
                <w:lang w:bidi="ar"/>
              </w:rPr>
              <w:t>6</w:t>
            </w:r>
            <w:r>
              <w:rPr>
                <w:rFonts w:ascii="宋体" w:hAnsi="宋体" w:eastAsia="宋体"/>
                <w:bCs/>
                <w:szCs w:val="21"/>
                <w:lang w:bidi="ar"/>
              </w:rPr>
              <w:t>.支持基于源地址、源端口、目的地址、目的端口、应用</w:t>
            </w:r>
            <w:r>
              <w:rPr>
                <w:rFonts w:hint="eastAsia" w:ascii="宋体" w:hAnsi="宋体" w:eastAsia="宋体"/>
                <w:bCs/>
                <w:szCs w:val="21"/>
                <w:lang w:bidi="ar"/>
              </w:rPr>
              <w:t>层协议</w:t>
            </w:r>
            <w:r>
              <w:rPr>
                <w:rFonts w:ascii="宋体" w:hAnsi="宋体" w:eastAsia="宋体"/>
                <w:bCs/>
                <w:szCs w:val="21"/>
                <w:lang w:bidi="ar"/>
              </w:rPr>
              <w:t>的</w:t>
            </w:r>
            <w:r>
              <w:rPr>
                <w:rFonts w:hint="eastAsia" w:ascii="宋体" w:hAnsi="宋体" w:eastAsia="宋体"/>
                <w:bCs/>
                <w:szCs w:val="21"/>
                <w:lang w:bidi="ar"/>
              </w:rPr>
              <w:t>策略</w:t>
            </w:r>
            <w:r>
              <w:rPr>
                <w:rFonts w:ascii="宋体" w:hAnsi="宋体" w:eastAsia="宋体"/>
                <w:bCs/>
                <w:szCs w:val="21"/>
                <w:lang w:bidi="ar"/>
              </w:rPr>
              <w:t>管控功能</w:t>
            </w:r>
            <w:r>
              <w:rPr>
                <w:rFonts w:hint="eastAsia" w:ascii="宋体" w:hAnsi="宋体" w:eastAsia="宋体"/>
                <w:bCs/>
                <w:szCs w:val="21"/>
                <w:lang w:bidi="ar"/>
              </w:rPr>
              <w:t>；</w:t>
            </w:r>
          </w:p>
        </w:tc>
        <w:tc>
          <w:tcPr>
            <w:tcW w:w="466" w:type="pct"/>
            <w:vMerge w:val="continue"/>
            <w:tcBorders>
              <w:left w:val="single" w:color="000000" w:sz="4" w:space="0"/>
              <w:right w:val="single" w:color="auto" w:sz="6" w:space="0"/>
            </w:tcBorders>
            <w:shd w:val="clear" w:color="auto" w:fill="auto"/>
            <w:vAlign w:val="center"/>
          </w:tcPr>
          <w:p w14:paraId="09E660FB">
            <w:pPr>
              <w:snapToGrid w:val="0"/>
              <w:contextualSpacing/>
              <w:jc w:val="center"/>
              <w:rPr>
                <w:rFonts w:ascii="宋体" w:hAnsi="宋体" w:eastAsia="宋体"/>
                <w:b/>
                <w:bCs/>
                <w:szCs w:val="21"/>
                <w:lang w:bidi="ar"/>
              </w:rPr>
            </w:pPr>
          </w:p>
        </w:tc>
      </w:tr>
      <w:tr w14:paraId="621E452F">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4F91068D">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16EE28EE">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325211D9">
            <w:pPr>
              <w:snapToGrid w:val="0"/>
              <w:jc w:val="left"/>
              <w:rPr>
                <w:rFonts w:ascii="宋体" w:hAnsi="宋体" w:eastAsia="宋体"/>
                <w:bCs/>
                <w:szCs w:val="21"/>
                <w:lang w:bidi="ar"/>
              </w:rPr>
            </w:pPr>
            <w:r>
              <w:rPr>
                <w:rFonts w:ascii="宋体" w:hAnsi="宋体" w:eastAsia="宋体"/>
                <w:bCs/>
                <w:szCs w:val="21"/>
                <w:lang w:bidi="ar"/>
              </w:rPr>
              <w:t>7.</w:t>
            </w:r>
            <w:r>
              <w:rPr>
                <w:rFonts w:hint="eastAsia" w:ascii="宋体" w:hAnsi="宋体" w:eastAsia="宋体"/>
                <w:bCs/>
                <w:szCs w:val="21"/>
                <w:lang w:bidi="ar"/>
              </w:rPr>
              <w:t>支持多条WAN线路之间的负载均衡；负载均衡模式支持源IP、目标IP、源IP加目标IP、4元组（源IP、源端口、目标IP、目标端口）等多种方式；</w:t>
            </w:r>
          </w:p>
        </w:tc>
        <w:tc>
          <w:tcPr>
            <w:tcW w:w="466" w:type="pct"/>
            <w:vMerge w:val="continue"/>
            <w:tcBorders>
              <w:left w:val="single" w:color="000000" w:sz="4" w:space="0"/>
              <w:right w:val="single" w:color="auto" w:sz="6" w:space="0"/>
            </w:tcBorders>
            <w:shd w:val="clear" w:color="auto" w:fill="auto"/>
            <w:vAlign w:val="center"/>
          </w:tcPr>
          <w:p w14:paraId="5567A278">
            <w:pPr>
              <w:snapToGrid w:val="0"/>
              <w:contextualSpacing/>
              <w:jc w:val="center"/>
              <w:rPr>
                <w:rFonts w:ascii="宋体" w:hAnsi="宋体" w:eastAsia="宋体"/>
                <w:b/>
                <w:bCs/>
                <w:szCs w:val="21"/>
                <w:lang w:bidi="ar"/>
              </w:rPr>
            </w:pPr>
          </w:p>
        </w:tc>
      </w:tr>
      <w:tr w14:paraId="5C1D10CE">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6410D77C">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D6FF713">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698089BC">
            <w:pPr>
              <w:snapToGrid w:val="0"/>
              <w:jc w:val="left"/>
              <w:rPr>
                <w:rFonts w:ascii="宋体" w:hAnsi="宋体" w:eastAsia="宋体"/>
                <w:bCs/>
                <w:szCs w:val="21"/>
                <w:lang w:bidi="ar"/>
              </w:rPr>
            </w:pPr>
            <w:r>
              <w:rPr>
                <w:rFonts w:ascii="宋体" w:hAnsi="宋体" w:eastAsia="宋体"/>
                <w:bCs/>
                <w:szCs w:val="21"/>
                <w:lang w:bidi="ar"/>
              </w:rPr>
              <w:t>8.</w:t>
            </w:r>
            <w:r>
              <w:rPr>
                <w:rFonts w:hint="eastAsia" w:ascii="宋体" w:hAnsi="宋体" w:eastAsia="宋体"/>
                <w:bCs/>
                <w:szCs w:val="21"/>
                <w:lang w:bidi="ar"/>
              </w:rPr>
              <w:t>防护特性：提供蠕虫、木马、恶意软件等外联行为特征库的自动更新与阻断，IPS内置签名数量15000；提供加密流量识别及其攻击行为识别防护能力；提供主流Flood攻击防范、主流拒绝服务攻击防范、主流IP地址扫描攻击防范；</w:t>
            </w:r>
          </w:p>
        </w:tc>
        <w:tc>
          <w:tcPr>
            <w:tcW w:w="466" w:type="pct"/>
            <w:vMerge w:val="continue"/>
            <w:tcBorders>
              <w:left w:val="single" w:color="000000" w:sz="4" w:space="0"/>
              <w:right w:val="single" w:color="auto" w:sz="6" w:space="0"/>
            </w:tcBorders>
            <w:shd w:val="clear" w:color="auto" w:fill="auto"/>
            <w:vAlign w:val="center"/>
          </w:tcPr>
          <w:p w14:paraId="6E5ED9C2">
            <w:pPr>
              <w:snapToGrid w:val="0"/>
              <w:contextualSpacing/>
              <w:jc w:val="center"/>
              <w:rPr>
                <w:rFonts w:ascii="宋体" w:hAnsi="宋体" w:eastAsia="宋体"/>
                <w:b/>
                <w:bCs/>
                <w:szCs w:val="21"/>
                <w:lang w:bidi="ar"/>
              </w:rPr>
            </w:pPr>
          </w:p>
        </w:tc>
      </w:tr>
      <w:tr w14:paraId="2E35BDA6">
        <w:tblPrEx>
          <w:tblCellMar>
            <w:top w:w="0" w:type="dxa"/>
            <w:left w:w="108" w:type="dxa"/>
            <w:bottom w:w="0" w:type="dxa"/>
            <w:right w:w="108" w:type="dxa"/>
          </w:tblCellMar>
        </w:tblPrEx>
        <w:trPr>
          <w:cantSplit/>
          <w:tblHeader/>
        </w:trPr>
        <w:tc>
          <w:tcPr>
            <w:tcW w:w="227" w:type="pct"/>
            <w:vMerge w:val="continue"/>
            <w:tcBorders>
              <w:left w:val="single" w:color="auto" w:sz="6" w:space="0"/>
              <w:bottom w:val="single" w:color="auto" w:sz="4" w:space="0"/>
              <w:right w:val="single" w:color="000000" w:sz="4" w:space="0"/>
            </w:tcBorders>
            <w:shd w:val="clear" w:color="auto" w:fill="auto"/>
            <w:vAlign w:val="center"/>
          </w:tcPr>
          <w:p w14:paraId="7BC56BD1">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bottom w:val="single" w:color="auto" w:sz="4" w:space="0"/>
              <w:right w:val="single" w:color="000000" w:sz="4" w:space="0"/>
            </w:tcBorders>
            <w:shd w:val="clear" w:color="auto" w:fill="auto"/>
            <w:vAlign w:val="center"/>
          </w:tcPr>
          <w:p w14:paraId="6DCB374A">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2D7E517B">
            <w:pPr>
              <w:snapToGrid w:val="0"/>
              <w:jc w:val="left"/>
              <w:rPr>
                <w:rFonts w:hint="eastAsia" w:ascii="宋体" w:hAnsi="宋体" w:eastAsia="宋体" w:cs="@仿宋_GB2312"/>
                <w:bCs/>
                <w:kern w:val="2"/>
                <w:sz w:val="21"/>
                <w:szCs w:val="21"/>
                <w:highlight w:val="none"/>
                <w:lang w:val="en-US" w:eastAsia="zh-CN" w:bidi="ar"/>
              </w:rPr>
            </w:pPr>
            <w:r>
              <w:rPr>
                <w:rFonts w:hint="eastAsia" w:ascii="宋体" w:hAnsi="宋体" w:eastAsia="宋体"/>
                <w:bCs/>
                <w:szCs w:val="21"/>
                <w:highlight w:val="none"/>
                <w:lang w:bidi="ar"/>
              </w:rPr>
              <w:t>9</w:t>
            </w:r>
            <w:r>
              <w:rPr>
                <w:rFonts w:ascii="宋体" w:hAnsi="宋体" w:eastAsia="宋体"/>
                <w:bCs/>
                <w:szCs w:val="21"/>
                <w:highlight w:val="none"/>
                <w:lang w:bidi="ar"/>
              </w:rPr>
              <w:t>.</w:t>
            </w:r>
            <w:r>
              <w:rPr>
                <w:rFonts w:hint="eastAsia" w:ascii="宋体" w:hAnsi="宋体" w:eastAsia="宋体"/>
                <w:bCs/>
                <w:szCs w:val="21"/>
                <w:highlight w:val="none"/>
                <w:lang w:bidi="ar"/>
              </w:rPr>
              <w:t>提供与设备配套的上网日志记录、存储和查询软件，满足6个月以上用户上网日志的保存与查询。</w:t>
            </w:r>
          </w:p>
        </w:tc>
        <w:tc>
          <w:tcPr>
            <w:tcW w:w="466" w:type="pct"/>
            <w:vMerge w:val="continue"/>
            <w:tcBorders>
              <w:left w:val="single" w:color="000000" w:sz="4" w:space="0"/>
              <w:bottom w:val="single" w:color="auto" w:sz="4" w:space="0"/>
              <w:right w:val="single" w:color="auto" w:sz="6" w:space="0"/>
            </w:tcBorders>
            <w:shd w:val="clear" w:color="auto" w:fill="auto"/>
            <w:vAlign w:val="center"/>
          </w:tcPr>
          <w:p w14:paraId="3C20837C">
            <w:pPr>
              <w:snapToGrid w:val="0"/>
              <w:contextualSpacing/>
              <w:jc w:val="center"/>
              <w:rPr>
                <w:rFonts w:ascii="宋体" w:hAnsi="宋体" w:eastAsia="宋体"/>
                <w:b/>
                <w:bCs/>
                <w:szCs w:val="21"/>
                <w:lang w:bidi="ar"/>
              </w:rPr>
            </w:pPr>
          </w:p>
        </w:tc>
      </w:tr>
      <w:tr w14:paraId="5C5FF7B4">
        <w:tblPrEx>
          <w:tblCellMar>
            <w:top w:w="0" w:type="dxa"/>
            <w:left w:w="108" w:type="dxa"/>
            <w:bottom w:w="0" w:type="dxa"/>
            <w:right w:w="108" w:type="dxa"/>
          </w:tblCellMar>
        </w:tblPrEx>
        <w:trPr>
          <w:cantSplit/>
          <w:tblHeader/>
        </w:trPr>
        <w:tc>
          <w:tcPr>
            <w:tcW w:w="227" w:type="pct"/>
            <w:vMerge w:val="restart"/>
            <w:tcBorders>
              <w:left w:val="single" w:color="auto" w:sz="6" w:space="0"/>
              <w:right w:val="single" w:color="000000" w:sz="4" w:space="0"/>
            </w:tcBorders>
            <w:shd w:val="clear" w:color="auto" w:fill="auto"/>
            <w:vAlign w:val="center"/>
          </w:tcPr>
          <w:p w14:paraId="20A065C0">
            <w:pPr>
              <w:snapToGrid w:val="0"/>
              <w:contextualSpacing/>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2</w:t>
            </w:r>
          </w:p>
        </w:tc>
        <w:tc>
          <w:tcPr>
            <w:tcW w:w="464" w:type="pct"/>
            <w:vMerge w:val="restart"/>
            <w:tcBorders>
              <w:left w:val="single" w:color="000000" w:sz="4" w:space="0"/>
              <w:right w:val="single" w:color="000000" w:sz="4" w:space="0"/>
            </w:tcBorders>
            <w:shd w:val="clear" w:color="auto" w:fill="auto"/>
            <w:vAlign w:val="center"/>
          </w:tcPr>
          <w:p w14:paraId="66744D0E">
            <w:pPr>
              <w:snapToGrid w:val="0"/>
              <w:ind w:left="-107" w:leftChars="-51"/>
              <w:contextualSpacing/>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校园网络认证设备</w:t>
            </w: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61140687">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1.</w:t>
            </w:r>
            <w:r>
              <w:rPr>
                <w:rFonts w:hint="eastAsia" w:ascii="宋体" w:hAnsi="宋体" w:eastAsia="宋体"/>
                <w:bCs/>
                <w:szCs w:val="21"/>
                <w:lang w:bidi="ar"/>
              </w:rPr>
              <w:t>★设备形态：标准2U，配置2个100G光接口(支持向下兼容40G光模块)，配置4个40G光接口。（含2个1</w:t>
            </w:r>
            <w:r>
              <w:rPr>
                <w:rFonts w:ascii="宋体" w:hAnsi="宋体" w:eastAsia="宋体"/>
                <w:bCs/>
                <w:szCs w:val="21"/>
                <w:lang w:bidi="ar"/>
              </w:rPr>
              <w:t>00</w:t>
            </w:r>
            <w:r>
              <w:rPr>
                <w:rFonts w:hint="eastAsia" w:ascii="宋体" w:hAnsi="宋体" w:eastAsia="宋体"/>
                <w:bCs/>
                <w:szCs w:val="21"/>
                <w:lang w:bidi="ar"/>
              </w:rPr>
              <w:t>G单模光模块，4个40G单模光模块）。并发配置10万用户数，注册用户数支持20万。</w:t>
            </w:r>
            <w:r>
              <w:rPr>
                <w:rFonts w:hint="eastAsia" w:ascii="宋体" w:hAnsi="宋体" w:eastAsia="宋体"/>
                <w:b/>
                <w:bCs w:val="0"/>
                <w:szCs w:val="21"/>
                <w:lang w:val="en-US" w:eastAsia="zh-CN" w:bidi="ar"/>
              </w:rPr>
              <w:t>（提供所投产品一致的产品彩页或产品官网截图或具有“CMA”标识的第三方检测报告）</w:t>
            </w:r>
          </w:p>
        </w:tc>
        <w:tc>
          <w:tcPr>
            <w:tcW w:w="466" w:type="pct"/>
            <w:vMerge w:val="restart"/>
            <w:tcBorders>
              <w:left w:val="single" w:color="000000" w:sz="4" w:space="0"/>
              <w:right w:val="single" w:color="auto" w:sz="6" w:space="0"/>
            </w:tcBorders>
            <w:shd w:val="clear" w:color="auto" w:fill="auto"/>
            <w:vAlign w:val="center"/>
          </w:tcPr>
          <w:p w14:paraId="0DE3B2C3">
            <w:pPr>
              <w:snapToGrid w:val="0"/>
              <w:contextualSpacing/>
              <w:jc w:val="center"/>
              <w:rPr>
                <w:rFonts w:ascii="宋体" w:hAnsi="宋体" w:eastAsia="宋体"/>
                <w:b/>
                <w:bCs/>
                <w:szCs w:val="21"/>
                <w:lang w:bidi="ar"/>
              </w:rPr>
            </w:pPr>
            <w:r>
              <w:rPr>
                <w:rFonts w:hint="eastAsia" w:ascii="宋体" w:hAnsi="宋体" w:eastAsia="宋体"/>
                <w:szCs w:val="21"/>
                <w:lang w:bidi="ar"/>
              </w:rPr>
              <w:t>2台</w:t>
            </w:r>
          </w:p>
        </w:tc>
      </w:tr>
      <w:tr w14:paraId="34A3BDAE">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3AE3B6F7">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46630BF5">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53772F1C">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2.</w:t>
            </w:r>
            <w:r>
              <w:rPr>
                <w:rFonts w:hint="eastAsia" w:ascii="宋体" w:hAnsi="宋体" w:eastAsia="宋体"/>
                <w:bCs/>
                <w:szCs w:val="21"/>
                <w:lang w:bidi="ar"/>
              </w:rPr>
              <w:t>工作模式：系统部署支持双机热备工作模式。支持IPv6和IPv4联动登录，支持IPv4和IPv6分别登录认证。可控制每一用户在线时的最大TCP会话连接数限制，防止失陷主机对外进行大量攻击。</w:t>
            </w:r>
          </w:p>
        </w:tc>
        <w:tc>
          <w:tcPr>
            <w:tcW w:w="466" w:type="pct"/>
            <w:vMerge w:val="continue"/>
            <w:tcBorders>
              <w:left w:val="single" w:color="000000" w:sz="4" w:space="0"/>
              <w:right w:val="single" w:color="auto" w:sz="6" w:space="0"/>
            </w:tcBorders>
            <w:shd w:val="clear" w:color="auto" w:fill="auto"/>
            <w:vAlign w:val="center"/>
          </w:tcPr>
          <w:p w14:paraId="31D49B53">
            <w:pPr>
              <w:snapToGrid w:val="0"/>
              <w:contextualSpacing/>
              <w:jc w:val="center"/>
              <w:rPr>
                <w:rFonts w:ascii="宋体" w:hAnsi="宋体" w:eastAsia="宋体"/>
                <w:b/>
                <w:bCs/>
                <w:szCs w:val="21"/>
                <w:lang w:bidi="ar"/>
              </w:rPr>
            </w:pPr>
          </w:p>
        </w:tc>
      </w:tr>
      <w:tr w14:paraId="11ECA991">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27800C65">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162EC3D7">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3AA57E06">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3.</w:t>
            </w:r>
            <w:r>
              <w:rPr>
                <w:rFonts w:hint="eastAsia" w:ascii="宋体" w:hAnsi="宋体" w:eastAsia="宋体"/>
                <w:bCs/>
                <w:szCs w:val="21"/>
                <w:lang w:bidi="ar"/>
              </w:rPr>
              <w:t>部署模式：支持设备串接在网络中以网关模式部署，支持L2/L3转发和路由模式，透明模式不用改变网络任何结构和IP。支持指定的目的IP或IP段免认证功能，实现灵活的接入访问控制和对特殊服务进行计费。</w:t>
            </w:r>
          </w:p>
        </w:tc>
        <w:tc>
          <w:tcPr>
            <w:tcW w:w="466" w:type="pct"/>
            <w:vMerge w:val="continue"/>
            <w:tcBorders>
              <w:left w:val="single" w:color="000000" w:sz="4" w:space="0"/>
              <w:right w:val="single" w:color="auto" w:sz="6" w:space="0"/>
            </w:tcBorders>
            <w:shd w:val="clear" w:color="auto" w:fill="auto"/>
            <w:vAlign w:val="center"/>
          </w:tcPr>
          <w:p w14:paraId="3F24E79A">
            <w:pPr>
              <w:snapToGrid w:val="0"/>
              <w:contextualSpacing/>
              <w:jc w:val="center"/>
              <w:rPr>
                <w:rFonts w:ascii="宋体" w:hAnsi="宋体" w:eastAsia="宋体"/>
                <w:b/>
                <w:bCs/>
                <w:szCs w:val="21"/>
                <w:lang w:bidi="ar"/>
              </w:rPr>
            </w:pPr>
          </w:p>
        </w:tc>
      </w:tr>
      <w:tr w14:paraId="1BC94597">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140F5418">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41CEEBF0">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3A4CE333">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4.</w:t>
            </w:r>
            <w:r>
              <w:rPr>
                <w:rFonts w:hint="eastAsia" w:ascii="宋体" w:hAnsi="宋体" w:eastAsia="宋体"/>
                <w:bCs/>
                <w:szCs w:val="21"/>
                <w:lang w:bidi="ar"/>
              </w:rPr>
              <w:t>认证方式：支持国际标准认证方式（WEB、IPoE、Portal、PPPoE、802.1x等），并能和第三方RADIUS厂商的RADIUS服务器对接，支持第三方的私有协议，且本身也可以提供RADIUS服务。</w:t>
            </w:r>
          </w:p>
        </w:tc>
        <w:tc>
          <w:tcPr>
            <w:tcW w:w="466" w:type="pct"/>
            <w:vMerge w:val="continue"/>
            <w:tcBorders>
              <w:left w:val="single" w:color="000000" w:sz="4" w:space="0"/>
              <w:right w:val="single" w:color="auto" w:sz="6" w:space="0"/>
            </w:tcBorders>
            <w:shd w:val="clear" w:color="auto" w:fill="auto"/>
            <w:vAlign w:val="center"/>
          </w:tcPr>
          <w:p w14:paraId="2F12018F">
            <w:pPr>
              <w:snapToGrid w:val="0"/>
              <w:contextualSpacing/>
              <w:jc w:val="center"/>
              <w:rPr>
                <w:rFonts w:ascii="宋体" w:hAnsi="宋体" w:eastAsia="宋体"/>
                <w:b/>
                <w:bCs/>
                <w:szCs w:val="21"/>
                <w:lang w:bidi="ar"/>
              </w:rPr>
            </w:pPr>
          </w:p>
        </w:tc>
      </w:tr>
      <w:tr w14:paraId="5D98B42A">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0BDD2028">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0893E484">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3B158E2F">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5.</w:t>
            </w:r>
            <w:r>
              <w:rPr>
                <w:rFonts w:hint="eastAsia" w:ascii="宋体" w:hAnsi="宋体" w:eastAsia="宋体"/>
                <w:bCs/>
                <w:szCs w:val="21"/>
                <w:lang w:bidi="ar"/>
              </w:rPr>
              <w:t>★支持多种无感知认证方式，包括网关串接接入方式、radius server旁路接入方式、MAC Trigger、Portal Trigger无感知认证方式。支持绑定终端类型控制，如移动终端、PC或组合，支持基于分组、IP段设置策略。</w:t>
            </w:r>
            <w:r>
              <w:rPr>
                <w:rFonts w:hint="eastAsia" w:ascii="宋体" w:hAnsi="宋体" w:eastAsia="宋体"/>
                <w:b/>
                <w:szCs w:val="21"/>
                <w:lang w:bidi="ar"/>
              </w:rPr>
              <w:t>（</w:t>
            </w:r>
            <w:r>
              <w:rPr>
                <w:rFonts w:hint="eastAsia" w:ascii="宋体" w:hAnsi="宋体" w:eastAsia="宋体" w:cs="宋体"/>
                <w:b/>
                <w:bCs/>
                <w:szCs w:val="21"/>
                <w:lang w:bidi="ar"/>
              </w:rPr>
              <w:t>投标文件中</w:t>
            </w:r>
            <w:r>
              <w:rPr>
                <w:rFonts w:hint="eastAsia" w:ascii="宋体" w:hAnsi="宋体" w:eastAsia="宋体"/>
                <w:b/>
                <w:szCs w:val="21"/>
                <w:lang w:bidi="ar"/>
              </w:rPr>
              <w:t>提供产品功能截图）</w:t>
            </w:r>
          </w:p>
        </w:tc>
        <w:tc>
          <w:tcPr>
            <w:tcW w:w="466" w:type="pct"/>
            <w:vMerge w:val="continue"/>
            <w:tcBorders>
              <w:left w:val="single" w:color="000000" w:sz="4" w:space="0"/>
              <w:right w:val="single" w:color="auto" w:sz="6" w:space="0"/>
            </w:tcBorders>
            <w:shd w:val="clear" w:color="auto" w:fill="auto"/>
            <w:vAlign w:val="center"/>
          </w:tcPr>
          <w:p w14:paraId="435E4769">
            <w:pPr>
              <w:snapToGrid w:val="0"/>
              <w:contextualSpacing/>
              <w:jc w:val="center"/>
              <w:rPr>
                <w:rFonts w:ascii="宋体" w:hAnsi="宋体" w:eastAsia="宋体"/>
                <w:b/>
                <w:bCs/>
                <w:szCs w:val="21"/>
                <w:lang w:bidi="ar"/>
              </w:rPr>
            </w:pPr>
          </w:p>
        </w:tc>
      </w:tr>
      <w:tr w14:paraId="0152F365">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39A19718">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F82356D">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77D95705">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6.</w:t>
            </w:r>
            <w:r>
              <w:rPr>
                <w:rFonts w:hint="eastAsia" w:ascii="宋体" w:hAnsi="宋体" w:eastAsia="宋体"/>
                <w:bCs/>
                <w:szCs w:val="21"/>
                <w:lang w:bidi="ar"/>
              </w:rPr>
              <w:t>协议支持：产品针对IPv6协议测试、邻居发现协议测试、ICMPv6协议测试和无状态地址自动配置协议测试，</w:t>
            </w:r>
            <w:r>
              <w:rPr>
                <w:rFonts w:hint="eastAsia" w:ascii="宋体" w:hAnsi="宋体" w:eastAsia="宋体" w:cs="宋体"/>
                <w:b/>
                <w:bCs/>
                <w:szCs w:val="21"/>
                <w:lang w:bidi="ar"/>
              </w:rPr>
              <w:t>投标文件中</w:t>
            </w:r>
            <w:r>
              <w:rPr>
                <w:rFonts w:hint="eastAsia" w:ascii="宋体" w:hAnsi="宋体" w:eastAsia="宋体"/>
                <w:b/>
                <w:szCs w:val="21"/>
                <w:lang w:bidi="ar"/>
              </w:rPr>
              <w:t>能够提供带有CMA标识的第三方检测机构出具的检验结论合格的检验报告，</w:t>
            </w:r>
            <w:r>
              <w:rPr>
                <w:rFonts w:hint="eastAsia" w:ascii="宋体" w:hAnsi="宋体" w:eastAsia="宋体"/>
                <w:bCs/>
                <w:szCs w:val="21"/>
                <w:lang w:bidi="ar"/>
              </w:rPr>
              <w:t>以保证产品对IPv6网络环境的兼容性；</w:t>
            </w:r>
          </w:p>
        </w:tc>
        <w:tc>
          <w:tcPr>
            <w:tcW w:w="466" w:type="pct"/>
            <w:vMerge w:val="continue"/>
            <w:tcBorders>
              <w:left w:val="single" w:color="000000" w:sz="4" w:space="0"/>
              <w:right w:val="single" w:color="auto" w:sz="6" w:space="0"/>
            </w:tcBorders>
            <w:shd w:val="clear" w:color="auto" w:fill="auto"/>
            <w:vAlign w:val="center"/>
          </w:tcPr>
          <w:p w14:paraId="546FF4C9">
            <w:pPr>
              <w:snapToGrid w:val="0"/>
              <w:contextualSpacing/>
              <w:jc w:val="center"/>
              <w:rPr>
                <w:rFonts w:ascii="宋体" w:hAnsi="宋体" w:eastAsia="宋体"/>
                <w:b/>
                <w:bCs/>
                <w:szCs w:val="21"/>
                <w:lang w:bidi="ar"/>
              </w:rPr>
            </w:pPr>
          </w:p>
        </w:tc>
      </w:tr>
      <w:tr w14:paraId="680B3C12">
        <w:tblPrEx>
          <w:tblCellMar>
            <w:top w:w="0" w:type="dxa"/>
            <w:left w:w="108" w:type="dxa"/>
            <w:bottom w:w="0" w:type="dxa"/>
            <w:right w:w="108" w:type="dxa"/>
          </w:tblCellMar>
        </w:tblPrEx>
        <w:trPr>
          <w:cantSplit/>
          <w:tblHeader/>
        </w:trPr>
        <w:tc>
          <w:tcPr>
            <w:tcW w:w="227" w:type="pct"/>
            <w:vMerge w:val="continue"/>
            <w:tcBorders>
              <w:left w:val="single" w:color="auto" w:sz="6" w:space="0"/>
              <w:bottom w:val="single" w:color="auto" w:sz="4" w:space="0"/>
              <w:right w:val="single" w:color="000000" w:sz="4" w:space="0"/>
            </w:tcBorders>
            <w:shd w:val="clear" w:color="auto" w:fill="auto"/>
            <w:vAlign w:val="center"/>
          </w:tcPr>
          <w:p w14:paraId="2256ACAB">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bottom w:val="single" w:color="auto" w:sz="4" w:space="0"/>
              <w:right w:val="single" w:color="000000" w:sz="4" w:space="0"/>
            </w:tcBorders>
            <w:shd w:val="clear" w:color="auto" w:fill="auto"/>
            <w:vAlign w:val="center"/>
          </w:tcPr>
          <w:p w14:paraId="0E2C37CF">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1C94062D">
            <w:pPr>
              <w:snapToGrid w:val="0"/>
              <w:jc w:val="left"/>
              <w:rPr>
                <w:rFonts w:ascii="宋体" w:hAnsi="宋体" w:eastAsia="宋体"/>
                <w:bCs/>
                <w:szCs w:val="21"/>
                <w:lang w:bidi="ar"/>
              </w:rPr>
            </w:pPr>
            <w:r>
              <w:rPr>
                <w:rFonts w:ascii="宋体" w:hAnsi="宋体" w:eastAsia="宋体"/>
                <w:bCs/>
                <w:szCs w:val="21"/>
                <w:lang w:bidi="ar"/>
              </w:rPr>
              <w:t>7.</w:t>
            </w:r>
            <w:r>
              <w:rPr>
                <w:rFonts w:hint="eastAsia" w:ascii="宋体" w:hAnsi="宋体" w:eastAsia="宋体"/>
                <w:bCs/>
                <w:szCs w:val="21"/>
                <w:lang w:bidi="ar"/>
              </w:rPr>
              <w:t>★兼容对接：负责定制完成与招标人现有认证系统实现无缝对接，实现统一后台管理，数据同步，包含用户账号、密码、上线时间、下线时间等，基于认证系统上用户组及用户账号的引流和策略控制，并由</w:t>
            </w:r>
            <w:r>
              <w:rPr>
                <w:rFonts w:hint="eastAsia" w:ascii="宋体" w:hAnsi="宋体" w:eastAsia="宋体"/>
                <w:b/>
                <w:szCs w:val="21"/>
                <w:lang w:bidi="ar"/>
              </w:rPr>
              <w:t>所投产品生产厂商中标后提供无缝对接承诺函；</w:t>
            </w:r>
          </w:p>
        </w:tc>
        <w:tc>
          <w:tcPr>
            <w:tcW w:w="466" w:type="pct"/>
            <w:vMerge w:val="continue"/>
            <w:tcBorders>
              <w:left w:val="single" w:color="000000" w:sz="4" w:space="0"/>
              <w:bottom w:val="single" w:color="auto" w:sz="4" w:space="0"/>
              <w:right w:val="single" w:color="auto" w:sz="6" w:space="0"/>
            </w:tcBorders>
            <w:shd w:val="clear" w:color="auto" w:fill="auto"/>
            <w:vAlign w:val="center"/>
          </w:tcPr>
          <w:p w14:paraId="360C804D">
            <w:pPr>
              <w:snapToGrid w:val="0"/>
              <w:contextualSpacing/>
              <w:jc w:val="center"/>
              <w:rPr>
                <w:rFonts w:ascii="宋体" w:hAnsi="宋体" w:eastAsia="宋体"/>
                <w:b/>
                <w:bCs/>
                <w:szCs w:val="21"/>
                <w:lang w:bidi="ar"/>
              </w:rPr>
            </w:pPr>
          </w:p>
        </w:tc>
      </w:tr>
      <w:tr w14:paraId="4DF76F27">
        <w:tblPrEx>
          <w:tblCellMar>
            <w:top w:w="0" w:type="dxa"/>
            <w:left w:w="108" w:type="dxa"/>
            <w:bottom w:w="0" w:type="dxa"/>
            <w:right w:w="108" w:type="dxa"/>
          </w:tblCellMar>
        </w:tblPrEx>
        <w:trPr>
          <w:cantSplit/>
          <w:tblHeader/>
        </w:trPr>
        <w:tc>
          <w:tcPr>
            <w:tcW w:w="227" w:type="pct"/>
            <w:vMerge w:val="restart"/>
            <w:tcBorders>
              <w:left w:val="single" w:color="auto" w:sz="6" w:space="0"/>
              <w:right w:val="single" w:color="000000" w:sz="4" w:space="0"/>
            </w:tcBorders>
            <w:shd w:val="clear" w:color="auto" w:fill="auto"/>
            <w:vAlign w:val="center"/>
          </w:tcPr>
          <w:p w14:paraId="1FD53B7D">
            <w:pPr>
              <w:snapToGrid w:val="0"/>
              <w:contextualSpacing/>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3</w:t>
            </w:r>
          </w:p>
        </w:tc>
        <w:tc>
          <w:tcPr>
            <w:tcW w:w="464" w:type="pct"/>
            <w:vMerge w:val="restart"/>
            <w:tcBorders>
              <w:left w:val="single" w:color="000000" w:sz="4" w:space="0"/>
              <w:right w:val="single" w:color="000000" w:sz="4" w:space="0"/>
            </w:tcBorders>
            <w:shd w:val="clear" w:color="auto" w:fill="auto"/>
            <w:vAlign w:val="center"/>
          </w:tcPr>
          <w:p w14:paraId="541B2B37">
            <w:pPr>
              <w:snapToGrid w:val="0"/>
              <w:ind w:left="-107" w:leftChars="-51"/>
              <w:contextualSpacing/>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综合布线完善</w:t>
            </w: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7F0D2CD3">
            <w:pPr>
              <w:pStyle w:val="22"/>
              <w:snapToGrid w:val="0"/>
              <w:ind w:firstLine="0" w:firstLineChars="0"/>
              <w:contextualSpacing/>
              <w:jc w:val="left"/>
              <w:textAlignment w:val="center"/>
              <w:rPr>
                <w:rFonts w:ascii="宋体" w:hAnsi="宋体" w:eastAsia="宋体"/>
                <w:bCs/>
                <w:szCs w:val="21"/>
                <w:highlight w:val="none"/>
                <w:lang w:bidi="ar"/>
              </w:rPr>
            </w:pPr>
            <w:r>
              <w:rPr>
                <w:rFonts w:ascii="宋体" w:hAnsi="宋体" w:eastAsia="宋体"/>
                <w:bCs/>
                <w:szCs w:val="21"/>
                <w:highlight w:val="none"/>
                <w:lang w:bidi="ar"/>
              </w:rPr>
              <w:t>1.</w:t>
            </w:r>
            <w:r>
              <w:rPr>
                <w:rFonts w:hint="eastAsia" w:ascii="宋体" w:hAnsi="宋体" w:eastAsia="宋体"/>
                <w:bCs/>
                <w:szCs w:val="21"/>
                <w:highlight w:val="none"/>
                <w:lang w:bidi="ar"/>
              </w:rPr>
              <w:t xml:space="preserve">网线：非屏蔽六类单股线，铜芯：0.55-0.60mm，优质无氧铜；芯线外被:HDPE，外护套:PVC。提供第三方有权检测机构出具的具有CMA 标识的对六类非屏蔽信道产品进行检验的报告扫描件；        </w:t>
            </w:r>
            <w:r>
              <w:rPr>
                <w:rFonts w:hint="eastAsia" w:ascii="宋体" w:hAnsi="宋体" w:cs="宋体"/>
                <w:kern w:val="0"/>
                <w:szCs w:val="21"/>
                <w:highlight w:val="none"/>
                <w:lang w:bidi="ar"/>
              </w:rPr>
              <w:t xml:space="preserve"> </w:t>
            </w:r>
          </w:p>
        </w:tc>
        <w:tc>
          <w:tcPr>
            <w:tcW w:w="466" w:type="pct"/>
            <w:vMerge w:val="restart"/>
            <w:tcBorders>
              <w:left w:val="single" w:color="000000" w:sz="4" w:space="0"/>
              <w:right w:val="single" w:color="auto" w:sz="6" w:space="0"/>
            </w:tcBorders>
            <w:shd w:val="clear" w:color="auto" w:fill="auto"/>
            <w:vAlign w:val="center"/>
          </w:tcPr>
          <w:p w14:paraId="1463C7B8">
            <w:pPr>
              <w:snapToGrid w:val="0"/>
              <w:contextualSpacing/>
              <w:jc w:val="center"/>
              <w:rPr>
                <w:rFonts w:ascii="宋体" w:hAnsi="宋体" w:eastAsia="宋体"/>
                <w:b/>
                <w:bCs/>
                <w:szCs w:val="21"/>
                <w:lang w:bidi="ar"/>
              </w:rPr>
            </w:pPr>
            <w:r>
              <w:rPr>
                <w:rFonts w:hint="eastAsia" w:ascii="宋体" w:hAnsi="宋体" w:eastAsia="宋体" w:cs="宋体"/>
                <w:color w:val="000000"/>
                <w:kern w:val="0"/>
                <w:szCs w:val="21"/>
                <w:lang w:bidi="ar"/>
              </w:rPr>
              <w:t>1项</w:t>
            </w:r>
          </w:p>
        </w:tc>
      </w:tr>
      <w:tr w14:paraId="7DDD2C08">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52D46895">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1205485D">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5A804214">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2.</w:t>
            </w:r>
            <w:r>
              <w:rPr>
                <w:rFonts w:hint="eastAsia" w:ascii="宋体" w:hAnsi="宋体" w:eastAsia="宋体"/>
                <w:bCs/>
                <w:szCs w:val="21"/>
                <w:lang w:bidi="ar"/>
              </w:rPr>
              <w:t>网络面板：单口面板带有保护门的滑盖式防尘盖，可用于86型底盒和屏风家具安装；双层设计，白色，含六类非屏蔽模块；面板包括标签、透明标签盖、安装螺丝；能兼容屏蔽和非屏蔽模块；提供单孔和双孔选择；采用UL 94V-0高阻燃等级塑料。</w:t>
            </w:r>
          </w:p>
        </w:tc>
        <w:tc>
          <w:tcPr>
            <w:tcW w:w="466" w:type="pct"/>
            <w:vMerge w:val="continue"/>
            <w:tcBorders>
              <w:left w:val="single" w:color="000000" w:sz="4" w:space="0"/>
              <w:right w:val="single" w:color="auto" w:sz="6" w:space="0"/>
            </w:tcBorders>
            <w:shd w:val="clear" w:color="auto" w:fill="auto"/>
            <w:vAlign w:val="center"/>
          </w:tcPr>
          <w:p w14:paraId="7F7D1967">
            <w:pPr>
              <w:snapToGrid w:val="0"/>
              <w:contextualSpacing/>
              <w:jc w:val="center"/>
              <w:rPr>
                <w:rFonts w:ascii="宋体" w:hAnsi="宋体" w:eastAsia="宋体"/>
                <w:b/>
                <w:bCs/>
                <w:szCs w:val="21"/>
                <w:lang w:bidi="ar"/>
              </w:rPr>
            </w:pPr>
          </w:p>
        </w:tc>
      </w:tr>
      <w:tr w14:paraId="2F5A89BA">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75633360">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34D37AC6">
            <w:pPr>
              <w:snapToGrid w:val="0"/>
              <w:ind w:left="-107" w:leftChars="-51"/>
              <w:contextualSpacing/>
              <w:jc w:val="left"/>
              <w:textAlignment w:val="center"/>
              <w:rPr>
                <w:rFonts w:ascii="宋体" w:hAnsi="宋体" w:eastAsia="宋体" w:cs="宋体"/>
                <w:color w:val="000000"/>
                <w:kern w:val="0"/>
                <w:szCs w:val="21"/>
                <w:highlight w:val="none"/>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14A15CCC">
            <w:pPr>
              <w:pStyle w:val="22"/>
              <w:snapToGrid w:val="0"/>
              <w:ind w:firstLine="0" w:firstLineChars="0"/>
              <w:contextualSpacing/>
              <w:jc w:val="left"/>
              <w:textAlignment w:val="center"/>
              <w:rPr>
                <w:rFonts w:ascii="宋体" w:hAnsi="宋体" w:eastAsia="宋体"/>
                <w:bCs/>
                <w:szCs w:val="21"/>
                <w:highlight w:val="none"/>
                <w:lang w:bidi="ar"/>
              </w:rPr>
            </w:pPr>
            <w:r>
              <w:rPr>
                <w:rFonts w:hint="eastAsia" w:ascii="宋体" w:hAnsi="宋体" w:eastAsia="宋体"/>
                <w:bCs/>
                <w:szCs w:val="21"/>
                <w:highlight w:val="none"/>
                <w:lang w:bidi="ar"/>
              </w:rPr>
              <w:t>3</w:t>
            </w:r>
            <w:r>
              <w:rPr>
                <w:rFonts w:ascii="宋体" w:hAnsi="宋体" w:eastAsia="宋体"/>
                <w:bCs/>
                <w:szCs w:val="21"/>
                <w:highlight w:val="none"/>
                <w:lang w:bidi="ar"/>
              </w:rPr>
              <w:t>.86型明盒</w:t>
            </w:r>
            <w:r>
              <w:rPr>
                <w:rFonts w:hint="eastAsia" w:ascii="宋体" w:hAnsi="宋体" w:eastAsia="宋体"/>
                <w:bCs/>
                <w:szCs w:val="21"/>
                <w:highlight w:val="none"/>
                <w:lang w:bidi="ar"/>
              </w:rPr>
              <w:t>：</w:t>
            </w:r>
            <w:r>
              <w:rPr>
                <w:rFonts w:ascii="宋体" w:hAnsi="宋体" w:eastAsia="宋体"/>
                <w:bCs/>
                <w:szCs w:val="21"/>
                <w:highlight w:val="none"/>
                <w:lang w:bidi="ar"/>
              </w:rPr>
              <w:t>与网络面板配套</w:t>
            </w:r>
            <w:r>
              <w:rPr>
                <w:rFonts w:hint="eastAsia" w:ascii="宋体" w:hAnsi="宋体" w:eastAsia="宋体"/>
                <w:bCs/>
                <w:szCs w:val="21"/>
                <w:highlight w:val="none"/>
                <w:lang w:bidi="ar"/>
              </w:rPr>
              <w:t>，</w:t>
            </w:r>
            <w:r>
              <w:rPr>
                <w:rFonts w:ascii="宋体" w:hAnsi="宋体" w:eastAsia="宋体"/>
                <w:bCs/>
                <w:szCs w:val="21"/>
                <w:highlight w:val="none"/>
                <w:lang w:bidi="ar"/>
              </w:rPr>
              <w:t>颜色与网络面板相同或相近，材质采用优质塑料，需具备良好的机械强度和阻燃性</w:t>
            </w:r>
            <w:r>
              <w:rPr>
                <w:rFonts w:hint="eastAsia" w:ascii="宋体" w:hAnsi="宋体" w:eastAsia="宋体"/>
                <w:bCs/>
                <w:szCs w:val="21"/>
                <w:highlight w:val="none"/>
                <w:lang w:bidi="ar"/>
              </w:rPr>
              <w:t>。</w:t>
            </w:r>
          </w:p>
        </w:tc>
        <w:tc>
          <w:tcPr>
            <w:tcW w:w="466" w:type="pct"/>
            <w:vMerge w:val="continue"/>
            <w:tcBorders>
              <w:left w:val="single" w:color="000000" w:sz="4" w:space="0"/>
              <w:right w:val="single" w:color="auto" w:sz="6" w:space="0"/>
            </w:tcBorders>
            <w:shd w:val="clear" w:color="auto" w:fill="auto"/>
            <w:vAlign w:val="center"/>
          </w:tcPr>
          <w:p w14:paraId="4D3009D3">
            <w:pPr>
              <w:snapToGrid w:val="0"/>
              <w:contextualSpacing/>
              <w:jc w:val="center"/>
              <w:rPr>
                <w:rFonts w:ascii="宋体" w:hAnsi="宋体" w:eastAsia="宋体"/>
                <w:b/>
                <w:bCs/>
                <w:szCs w:val="21"/>
                <w:lang w:bidi="ar"/>
              </w:rPr>
            </w:pPr>
          </w:p>
        </w:tc>
      </w:tr>
      <w:tr w14:paraId="55D91459">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4CF9F394">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399307F">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12BE9894">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4.</w:t>
            </w:r>
            <w:r>
              <w:rPr>
                <w:rFonts w:hint="eastAsia" w:ascii="宋体" w:hAnsi="宋体" w:eastAsia="宋体"/>
                <w:bCs/>
                <w:szCs w:val="21"/>
                <w:lang w:bidi="ar"/>
              </w:rPr>
              <w:t>六类非屏蔽模块：采用打线刀打线安装（非免打线）</w:t>
            </w:r>
          </w:p>
        </w:tc>
        <w:tc>
          <w:tcPr>
            <w:tcW w:w="466" w:type="pct"/>
            <w:vMerge w:val="continue"/>
            <w:tcBorders>
              <w:left w:val="single" w:color="000000" w:sz="4" w:space="0"/>
              <w:right w:val="single" w:color="auto" w:sz="6" w:space="0"/>
            </w:tcBorders>
            <w:shd w:val="clear" w:color="auto" w:fill="auto"/>
            <w:vAlign w:val="center"/>
          </w:tcPr>
          <w:p w14:paraId="008DCFBD">
            <w:pPr>
              <w:snapToGrid w:val="0"/>
              <w:contextualSpacing/>
              <w:jc w:val="center"/>
              <w:rPr>
                <w:rFonts w:ascii="宋体" w:hAnsi="宋体" w:eastAsia="宋体"/>
                <w:b/>
                <w:bCs/>
                <w:szCs w:val="21"/>
                <w:lang w:bidi="ar"/>
              </w:rPr>
            </w:pPr>
          </w:p>
        </w:tc>
      </w:tr>
      <w:tr w14:paraId="4F7B8C6E">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41FBCD71">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1B09F2C3">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6E069AA3">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5.</w:t>
            </w:r>
            <w:r>
              <w:rPr>
                <w:rFonts w:hint="eastAsia" w:ascii="宋体" w:hAnsi="宋体" w:eastAsia="宋体"/>
                <w:bCs/>
                <w:szCs w:val="21"/>
                <w:lang w:bidi="ar"/>
              </w:rPr>
              <w:t>PVC线槽：耐火阻燃材质，尺寸约20mm*10mm。</w:t>
            </w:r>
          </w:p>
        </w:tc>
        <w:tc>
          <w:tcPr>
            <w:tcW w:w="466" w:type="pct"/>
            <w:vMerge w:val="continue"/>
            <w:tcBorders>
              <w:left w:val="single" w:color="000000" w:sz="4" w:space="0"/>
              <w:right w:val="single" w:color="auto" w:sz="6" w:space="0"/>
            </w:tcBorders>
            <w:shd w:val="clear" w:color="auto" w:fill="auto"/>
            <w:vAlign w:val="center"/>
          </w:tcPr>
          <w:p w14:paraId="3B4F785C">
            <w:pPr>
              <w:snapToGrid w:val="0"/>
              <w:contextualSpacing/>
              <w:jc w:val="center"/>
              <w:rPr>
                <w:rFonts w:ascii="宋体" w:hAnsi="宋体" w:eastAsia="宋体"/>
                <w:b/>
                <w:bCs/>
                <w:szCs w:val="21"/>
                <w:lang w:bidi="ar"/>
              </w:rPr>
            </w:pPr>
          </w:p>
        </w:tc>
      </w:tr>
      <w:tr w14:paraId="129ECFB8">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4834F943">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D383656">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547BC25D">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6.</w:t>
            </w:r>
            <w:r>
              <w:rPr>
                <w:rFonts w:hint="eastAsia" w:ascii="宋体" w:hAnsi="宋体" w:eastAsia="宋体"/>
                <w:bCs/>
                <w:szCs w:val="21"/>
                <w:lang w:bidi="ar"/>
              </w:rPr>
              <w:t>施工标准：含PVC线槽、网线敷设，机柜线缆整理，旧设备拆除等。</w:t>
            </w:r>
          </w:p>
        </w:tc>
        <w:tc>
          <w:tcPr>
            <w:tcW w:w="466" w:type="pct"/>
            <w:vMerge w:val="continue"/>
            <w:tcBorders>
              <w:left w:val="single" w:color="000000" w:sz="4" w:space="0"/>
              <w:right w:val="single" w:color="auto" w:sz="6" w:space="0"/>
            </w:tcBorders>
            <w:shd w:val="clear" w:color="auto" w:fill="auto"/>
            <w:vAlign w:val="center"/>
          </w:tcPr>
          <w:p w14:paraId="1DFFE163">
            <w:pPr>
              <w:snapToGrid w:val="0"/>
              <w:contextualSpacing/>
              <w:jc w:val="center"/>
              <w:rPr>
                <w:rFonts w:ascii="宋体" w:hAnsi="宋体" w:eastAsia="宋体"/>
                <w:b/>
                <w:bCs/>
                <w:szCs w:val="21"/>
                <w:lang w:bidi="ar"/>
              </w:rPr>
            </w:pPr>
          </w:p>
        </w:tc>
      </w:tr>
      <w:tr w14:paraId="3D8F1102">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0FDF80AA">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6C3D4D2">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7F635D12">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7.</w:t>
            </w:r>
            <w:r>
              <w:rPr>
                <w:rFonts w:hint="eastAsia" w:ascii="宋体" w:hAnsi="宋体" w:eastAsia="宋体"/>
                <w:bCs/>
                <w:szCs w:val="21"/>
                <w:lang w:bidi="ar"/>
              </w:rPr>
              <w:t>水晶头：镀金三叉芯片，高韧性弹片，插拔次数不低于1000次。</w:t>
            </w:r>
          </w:p>
        </w:tc>
        <w:tc>
          <w:tcPr>
            <w:tcW w:w="466" w:type="pct"/>
            <w:vMerge w:val="continue"/>
            <w:tcBorders>
              <w:left w:val="single" w:color="000000" w:sz="4" w:space="0"/>
              <w:right w:val="single" w:color="auto" w:sz="6" w:space="0"/>
            </w:tcBorders>
            <w:shd w:val="clear" w:color="auto" w:fill="auto"/>
            <w:vAlign w:val="center"/>
          </w:tcPr>
          <w:p w14:paraId="477CB48A">
            <w:pPr>
              <w:snapToGrid w:val="0"/>
              <w:contextualSpacing/>
              <w:jc w:val="center"/>
              <w:rPr>
                <w:rFonts w:ascii="宋体" w:hAnsi="宋体" w:eastAsia="宋体"/>
                <w:b/>
                <w:bCs/>
                <w:szCs w:val="21"/>
                <w:lang w:bidi="ar"/>
              </w:rPr>
            </w:pPr>
          </w:p>
        </w:tc>
      </w:tr>
      <w:tr w14:paraId="23D8682F">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36D074A1">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135CE2FB">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13D3C77A">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8.</w:t>
            </w:r>
            <w:r>
              <w:rPr>
                <w:rFonts w:hint="eastAsia" w:ascii="宋体" w:hAnsi="宋体" w:eastAsia="宋体"/>
                <w:bCs/>
                <w:szCs w:val="21"/>
                <w:lang w:bidi="ar"/>
              </w:rPr>
              <w:t>本次综合布线完善工程包含：格物楼、升华楼、纬地楼、逸夫楼、翡翠科教楼等光网络楼宇ONU到墙面信息点的线路铺设和信息点安装。其中需要改造的信息点数量约1900个，平均每个信息点的布线长度约20米。</w:t>
            </w:r>
          </w:p>
        </w:tc>
        <w:tc>
          <w:tcPr>
            <w:tcW w:w="466" w:type="pct"/>
            <w:vMerge w:val="continue"/>
            <w:tcBorders>
              <w:left w:val="single" w:color="000000" w:sz="4" w:space="0"/>
              <w:right w:val="single" w:color="auto" w:sz="6" w:space="0"/>
            </w:tcBorders>
            <w:shd w:val="clear" w:color="auto" w:fill="auto"/>
            <w:vAlign w:val="center"/>
          </w:tcPr>
          <w:p w14:paraId="5560ED4F">
            <w:pPr>
              <w:snapToGrid w:val="0"/>
              <w:contextualSpacing/>
              <w:jc w:val="center"/>
              <w:rPr>
                <w:rFonts w:ascii="宋体" w:hAnsi="宋体" w:eastAsia="宋体"/>
                <w:b/>
                <w:bCs/>
                <w:szCs w:val="21"/>
                <w:lang w:bidi="ar"/>
              </w:rPr>
            </w:pPr>
          </w:p>
        </w:tc>
      </w:tr>
      <w:tr w14:paraId="0E266E93">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5AF67E02">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left w:val="single" w:color="000000" w:sz="4" w:space="0"/>
              <w:right w:val="single" w:color="000000" w:sz="4" w:space="0"/>
            </w:tcBorders>
            <w:shd w:val="clear" w:color="auto" w:fill="auto"/>
            <w:vAlign w:val="center"/>
          </w:tcPr>
          <w:p w14:paraId="78039202">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0D5AF748">
            <w:pPr>
              <w:pStyle w:val="22"/>
              <w:snapToGrid w:val="0"/>
              <w:ind w:firstLine="0" w:firstLineChars="0"/>
              <w:contextualSpacing/>
              <w:jc w:val="left"/>
              <w:textAlignment w:val="center"/>
              <w:rPr>
                <w:rFonts w:ascii="宋体" w:hAnsi="宋体" w:eastAsia="宋体"/>
                <w:bCs/>
                <w:szCs w:val="21"/>
                <w:lang w:bidi="ar"/>
              </w:rPr>
            </w:pPr>
            <w:r>
              <w:rPr>
                <w:rFonts w:ascii="宋体" w:hAnsi="宋体" w:eastAsia="宋体"/>
                <w:bCs/>
                <w:szCs w:val="21"/>
                <w:lang w:bidi="ar"/>
              </w:rPr>
              <w:t>9.</w:t>
            </w:r>
            <w:r>
              <w:rPr>
                <w:rFonts w:hint="eastAsia" w:ascii="宋体" w:hAnsi="宋体" w:eastAsia="宋体"/>
                <w:bCs/>
                <w:szCs w:val="21"/>
                <w:lang w:bidi="ar"/>
              </w:rPr>
              <w:t>老网络设备交换机90台及废旧机柜拆除。</w:t>
            </w:r>
          </w:p>
        </w:tc>
        <w:tc>
          <w:tcPr>
            <w:tcW w:w="466" w:type="pct"/>
            <w:vMerge w:val="continue"/>
            <w:tcBorders>
              <w:left w:val="single" w:color="000000" w:sz="4" w:space="0"/>
              <w:right w:val="single" w:color="auto" w:sz="6" w:space="0"/>
            </w:tcBorders>
            <w:shd w:val="clear" w:color="auto" w:fill="auto"/>
            <w:vAlign w:val="center"/>
          </w:tcPr>
          <w:p w14:paraId="28233D17">
            <w:pPr>
              <w:snapToGrid w:val="0"/>
              <w:contextualSpacing/>
              <w:jc w:val="center"/>
              <w:rPr>
                <w:rFonts w:ascii="宋体" w:hAnsi="宋体" w:eastAsia="宋体"/>
                <w:b/>
                <w:bCs/>
                <w:szCs w:val="21"/>
                <w:lang w:bidi="ar"/>
              </w:rPr>
            </w:pPr>
          </w:p>
        </w:tc>
      </w:tr>
      <w:tr w14:paraId="02123A29">
        <w:tblPrEx>
          <w:tblCellMar>
            <w:top w:w="0" w:type="dxa"/>
            <w:left w:w="108" w:type="dxa"/>
            <w:bottom w:w="0" w:type="dxa"/>
            <w:right w:w="108" w:type="dxa"/>
          </w:tblCellMar>
        </w:tblPrEx>
        <w:trPr>
          <w:cantSplit/>
          <w:tblHeader/>
        </w:trPr>
        <w:tc>
          <w:tcPr>
            <w:tcW w:w="227" w:type="pct"/>
            <w:vMerge w:val="restart"/>
            <w:tcBorders>
              <w:top w:val="single" w:color="000000" w:sz="6" w:space="0"/>
              <w:left w:val="single" w:color="auto" w:sz="6" w:space="0"/>
              <w:right w:val="single" w:color="000000" w:sz="4" w:space="0"/>
            </w:tcBorders>
            <w:shd w:val="clear" w:color="auto" w:fill="auto"/>
            <w:vAlign w:val="center"/>
          </w:tcPr>
          <w:p w14:paraId="5F662742">
            <w:pPr>
              <w:snapToGrid w:val="0"/>
              <w:contextualSpacing/>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p>
        </w:tc>
        <w:tc>
          <w:tcPr>
            <w:tcW w:w="464" w:type="pct"/>
            <w:vMerge w:val="restart"/>
            <w:tcBorders>
              <w:top w:val="single" w:color="000000" w:sz="6" w:space="0"/>
              <w:left w:val="single" w:color="000000" w:sz="4" w:space="0"/>
              <w:right w:val="single" w:color="000000" w:sz="4" w:space="0"/>
            </w:tcBorders>
            <w:shd w:val="clear" w:color="auto" w:fill="auto"/>
            <w:vAlign w:val="center"/>
          </w:tcPr>
          <w:p w14:paraId="54F2C694">
            <w:pPr>
              <w:snapToGrid w:val="0"/>
              <w:ind w:left="-107" w:leftChars="-51"/>
              <w:contextualSpacing/>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校园网核心管理工作站</w:t>
            </w: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74B6621D">
            <w:pPr>
              <w:snapToGrid w:val="0"/>
              <w:jc w:val="left"/>
              <w:rPr>
                <w:rFonts w:ascii="宋体" w:hAnsi="宋体" w:eastAsia="宋体"/>
                <w:bCs/>
                <w:szCs w:val="21"/>
                <w:highlight w:val="none"/>
                <w:lang w:bidi="ar"/>
              </w:rPr>
            </w:pPr>
            <w:r>
              <w:rPr>
                <w:rFonts w:ascii="宋体" w:hAnsi="宋体" w:eastAsia="宋体"/>
                <w:bCs/>
                <w:szCs w:val="21"/>
                <w:highlight w:val="none"/>
                <w:lang w:bidi="ar"/>
              </w:rPr>
              <w:t>1.</w:t>
            </w:r>
            <w:r>
              <w:rPr>
                <w:rFonts w:hint="eastAsia" w:ascii="宋体" w:hAnsi="宋体" w:eastAsia="宋体"/>
                <w:bCs/>
                <w:szCs w:val="21"/>
                <w:highlight w:val="none"/>
                <w:lang w:bidi="ar"/>
              </w:rPr>
              <w:t>CPU：10核16线程 基础频率（默认主频）3.7GHz，睿频最高4.9GHz</w:t>
            </w:r>
          </w:p>
        </w:tc>
        <w:tc>
          <w:tcPr>
            <w:tcW w:w="466" w:type="pct"/>
            <w:vMerge w:val="restart"/>
            <w:tcBorders>
              <w:top w:val="single" w:color="000000" w:sz="6" w:space="0"/>
              <w:left w:val="single" w:color="000000" w:sz="4" w:space="0"/>
              <w:right w:val="single" w:color="auto" w:sz="6" w:space="0"/>
            </w:tcBorders>
            <w:shd w:val="clear" w:color="auto" w:fill="auto"/>
            <w:vAlign w:val="center"/>
          </w:tcPr>
          <w:p w14:paraId="15BAAAD4">
            <w:pPr>
              <w:snapToGrid w:val="0"/>
              <w:contextualSpacing/>
              <w:jc w:val="center"/>
              <w:rPr>
                <w:rFonts w:ascii="宋体" w:hAnsi="宋体" w:eastAsia="宋体"/>
                <w:b/>
                <w:bCs/>
                <w:szCs w:val="21"/>
                <w:highlight w:val="none"/>
                <w:lang w:bidi="ar"/>
              </w:rPr>
            </w:pPr>
            <w:r>
              <w:rPr>
                <w:rFonts w:hint="eastAsia" w:ascii="宋体" w:hAnsi="宋体" w:eastAsia="宋体"/>
                <w:szCs w:val="21"/>
                <w:highlight w:val="none"/>
                <w:lang w:val="en-US" w:eastAsia="zh-CN" w:bidi="ar"/>
              </w:rPr>
              <w:t>5</w:t>
            </w:r>
            <w:r>
              <w:rPr>
                <w:rFonts w:hint="eastAsia" w:ascii="宋体" w:hAnsi="宋体" w:eastAsia="宋体"/>
                <w:szCs w:val="21"/>
                <w:highlight w:val="none"/>
                <w:lang w:bidi="ar"/>
              </w:rPr>
              <w:t>台</w:t>
            </w:r>
          </w:p>
        </w:tc>
      </w:tr>
      <w:tr w14:paraId="6EE5BA9F">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1248B12F">
            <w:pPr>
              <w:snapToGrid w:val="0"/>
              <w:contextualSpacing/>
              <w:jc w:val="center"/>
              <w:textAlignment w:val="center"/>
              <w:rPr>
                <w:rFonts w:ascii="宋体" w:hAnsi="宋体" w:eastAsia="宋体" w:cs="宋体"/>
                <w:color w:val="000000"/>
                <w:szCs w:val="21"/>
              </w:rPr>
            </w:pPr>
          </w:p>
        </w:tc>
        <w:tc>
          <w:tcPr>
            <w:tcW w:w="464" w:type="pct"/>
            <w:vMerge w:val="continue"/>
            <w:tcBorders>
              <w:left w:val="single" w:color="000000" w:sz="4" w:space="0"/>
              <w:right w:val="single" w:color="000000" w:sz="4" w:space="0"/>
            </w:tcBorders>
            <w:shd w:val="clear" w:color="auto" w:fill="auto"/>
            <w:vAlign w:val="center"/>
          </w:tcPr>
          <w:p w14:paraId="24933B3E">
            <w:pPr>
              <w:snapToGrid w:val="0"/>
              <w:ind w:left="-107" w:leftChars="-51"/>
              <w:contextualSpacing/>
              <w:jc w:val="center"/>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23DE96A4">
            <w:pPr>
              <w:snapToGrid w:val="0"/>
              <w:jc w:val="left"/>
              <w:rPr>
                <w:rFonts w:ascii="宋体" w:hAnsi="宋体" w:eastAsia="宋体"/>
                <w:bCs/>
                <w:szCs w:val="21"/>
                <w:lang w:bidi="ar"/>
              </w:rPr>
            </w:pPr>
            <w:r>
              <w:rPr>
                <w:rFonts w:ascii="宋体" w:hAnsi="宋体" w:eastAsia="宋体"/>
                <w:bCs/>
                <w:szCs w:val="21"/>
                <w:lang w:bidi="ar"/>
              </w:rPr>
              <w:t>2.</w:t>
            </w:r>
            <w:r>
              <w:rPr>
                <w:rFonts w:hint="eastAsia" w:ascii="宋体" w:hAnsi="宋体" w:eastAsia="宋体"/>
                <w:bCs/>
                <w:szCs w:val="21"/>
                <w:lang w:bidi="ar"/>
              </w:rPr>
              <w:t xml:space="preserve">显卡：GDDR7显存8GB </w:t>
            </w:r>
            <w:r>
              <w:rPr>
                <w:rFonts w:hint="eastAsia" w:ascii="宋体" w:hAnsi="宋体" w:eastAsia="宋体"/>
                <w:bCs/>
                <w:szCs w:val="21"/>
                <w:lang w:eastAsia="zh-CN" w:bidi="ar"/>
              </w:rPr>
              <w:t>；</w:t>
            </w:r>
            <w:r>
              <w:rPr>
                <w:rFonts w:hint="eastAsia" w:ascii="宋体" w:hAnsi="宋体" w:eastAsia="宋体"/>
                <w:bCs/>
                <w:szCs w:val="21"/>
                <w:lang w:bidi="ar"/>
              </w:rPr>
              <w:t xml:space="preserve">内存：DDR5规格双通道内存32G </w:t>
            </w:r>
          </w:p>
        </w:tc>
        <w:tc>
          <w:tcPr>
            <w:tcW w:w="466" w:type="pct"/>
            <w:vMerge w:val="continue"/>
            <w:tcBorders>
              <w:left w:val="single" w:color="000000" w:sz="4" w:space="0"/>
              <w:right w:val="single" w:color="auto" w:sz="6" w:space="0"/>
            </w:tcBorders>
            <w:shd w:val="clear" w:color="auto" w:fill="auto"/>
            <w:vAlign w:val="center"/>
          </w:tcPr>
          <w:p w14:paraId="33E8962D">
            <w:pPr>
              <w:snapToGrid w:val="0"/>
              <w:contextualSpacing/>
              <w:jc w:val="center"/>
              <w:rPr>
                <w:rFonts w:ascii="宋体" w:hAnsi="宋体" w:eastAsia="宋体"/>
                <w:b/>
                <w:bCs/>
                <w:szCs w:val="21"/>
                <w:lang w:bidi="ar"/>
              </w:rPr>
            </w:pPr>
          </w:p>
        </w:tc>
      </w:tr>
      <w:tr w14:paraId="33B3AA1A">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4AD98100">
            <w:pPr>
              <w:snapToGrid w:val="0"/>
              <w:contextualSpacing/>
              <w:jc w:val="center"/>
              <w:textAlignment w:val="center"/>
              <w:rPr>
                <w:rFonts w:ascii="宋体" w:hAnsi="宋体" w:eastAsia="宋体" w:cs="宋体"/>
                <w:color w:val="000000"/>
                <w:szCs w:val="21"/>
              </w:rPr>
            </w:pPr>
          </w:p>
        </w:tc>
        <w:tc>
          <w:tcPr>
            <w:tcW w:w="464" w:type="pct"/>
            <w:vMerge w:val="continue"/>
            <w:tcBorders>
              <w:left w:val="single" w:color="000000" w:sz="4" w:space="0"/>
              <w:right w:val="single" w:color="000000" w:sz="4" w:space="0"/>
            </w:tcBorders>
            <w:shd w:val="clear" w:color="auto" w:fill="auto"/>
            <w:vAlign w:val="center"/>
          </w:tcPr>
          <w:p w14:paraId="3E038FC8">
            <w:pPr>
              <w:snapToGrid w:val="0"/>
              <w:ind w:left="-107" w:leftChars="-51"/>
              <w:contextualSpacing/>
              <w:jc w:val="center"/>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770D277F">
            <w:pPr>
              <w:snapToGrid w:val="0"/>
              <w:jc w:val="left"/>
              <w:rPr>
                <w:rFonts w:ascii="宋体" w:hAnsi="宋体" w:eastAsia="宋体"/>
                <w:bCs/>
                <w:szCs w:val="21"/>
                <w:lang w:bidi="ar"/>
              </w:rPr>
            </w:pPr>
            <w:r>
              <w:rPr>
                <w:rFonts w:ascii="宋体" w:hAnsi="宋体" w:eastAsia="宋体"/>
                <w:bCs/>
                <w:szCs w:val="21"/>
                <w:lang w:bidi="ar"/>
              </w:rPr>
              <w:t>3.</w:t>
            </w:r>
            <w:r>
              <w:rPr>
                <w:rFonts w:hint="eastAsia" w:ascii="宋体" w:hAnsi="宋体" w:eastAsia="宋体"/>
                <w:bCs/>
                <w:szCs w:val="21"/>
                <w:lang w:bidi="ar"/>
              </w:rPr>
              <w:t>硬盘：1T固态硬盘，TLC颗粒+1TB机械硬盘SATA3.0接口，转速不低于7200RPM</w:t>
            </w:r>
          </w:p>
        </w:tc>
        <w:tc>
          <w:tcPr>
            <w:tcW w:w="466" w:type="pct"/>
            <w:vMerge w:val="continue"/>
            <w:tcBorders>
              <w:left w:val="single" w:color="000000" w:sz="4" w:space="0"/>
              <w:right w:val="single" w:color="auto" w:sz="6" w:space="0"/>
            </w:tcBorders>
            <w:shd w:val="clear" w:color="auto" w:fill="auto"/>
            <w:vAlign w:val="center"/>
          </w:tcPr>
          <w:p w14:paraId="6E249D8B">
            <w:pPr>
              <w:snapToGrid w:val="0"/>
              <w:contextualSpacing/>
              <w:jc w:val="center"/>
              <w:rPr>
                <w:rFonts w:ascii="宋体" w:hAnsi="宋体" w:eastAsia="宋体"/>
                <w:b/>
                <w:bCs/>
                <w:szCs w:val="21"/>
                <w:lang w:bidi="ar"/>
              </w:rPr>
            </w:pPr>
          </w:p>
        </w:tc>
      </w:tr>
      <w:tr w14:paraId="406858BE">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010A7A7F">
            <w:pPr>
              <w:snapToGrid w:val="0"/>
              <w:contextualSpacing/>
              <w:jc w:val="center"/>
              <w:textAlignment w:val="center"/>
              <w:rPr>
                <w:rFonts w:ascii="宋体" w:hAnsi="宋体" w:eastAsia="宋体" w:cs="宋体"/>
                <w:color w:val="000000"/>
                <w:szCs w:val="21"/>
              </w:rPr>
            </w:pPr>
          </w:p>
        </w:tc>
        <w:tc>
          <w:tcPr>
            <w:tcW w:w="464" w:type="pct"/>
            <w:vMerge w:val="continue"/>
            <w:tcBorders>
              <w:left w:val="single" w:color="000000" w:sz="4" w:space="0"/>
              <w:right w:val="single" w:color="000000" w:sz="4" w:space="0"/>
            </w:tcBorders>
            <w:shd w:val="clear" w:color="auto" w:fill="auto"/>
            <w:vAlign w:val="center"/>
          </w:tcPr>
          <w:p w14:paraId="7F3F5118">
            <w:pPr>
              <w:snapToGrid w:val="0"/>
              <w:ind w:left="-107" w:leftChars="-51"/>
              <w:contextualSpacing/>
              <w:jc w:val="center"/>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5FC633BC">
            <w:pPr>
              <w:snapToGrid w:val="0"/>
              <w:jc w:val="left"/>
              <w:rPr>
                <w:rFonts w:ascii="宋体" w:hAnsi="宋体" w:eastAsia="宋体"/>
                <w:bCs/>
                <w:szCs w:val="21"/>
                <w:lang w:bidi="ar"/>
              </w:rPr>
            </w:pPr>
            <w:r>
              <w:rPr>
                <w:rFonts w:ascii="宋体" w:hAnsi="宋体" w:eastAsia="宋体"/>
                <w:bCs/>
                <w:szCs w:val="21"/>
                <w:lang w:bidi="ar"/>
              </w:rPr>
              <w:t>4.</w:t>
            </w:r>
            <w:r>
              <w:rPr>
                <w:rFonts w:hint="eastAsia" w:ascii="宋体" w:hAnsi="宋体" w:eastAsia="宋体"/>
                <w:bCs/>
                <w:szCs w:val="21"/>
                <w:lang w:bidi="ar"/>
              </w:rPr>
              <w:t>主板：与CPU、显卡适配并可全功率运行，内置WIFI6无线网卡</w:t>
            </w:r>
          </w:p>
        </w:tc>
        <w:tc>
          <w:tcPr>
            <w:tcW w:w="466" w:type="pct"/>
            <w:vMerge w:val="continue"/>
            <w:tcBorders>
              <w:left w:val="single" w:color="000000" w:sz="4" w:space="0"/>
              <w:right w:val="single" w:color="auto" w:sz="6" w:space="0"/>
            </w:tcBorders>
            <w:shd w:val="clear" w:color="auto" w:fill="auto"/>
            <w:vAlign w:val="center"/>
          </w:tcPr>
          <w:p w14:paraId="631E505E">
            <w:pPr>
              <w:snapToGrid w:val="0"/>
              <w:contextualSpacing/>
              <w:jc w:val="center"/>
              <w:rPr>
                <w:rFonts w:ascii="宋体" w:hAnsi="宋体" w:eastAsia="宋体"/>
                <w:b/>
                <w:bCs/>
                <w:szCs w:val="21"/>
                <w:lang w:bidi="ar"/>
              </w:rPr>
            </w:pPr>
          </w:p>
        </w:tc>
      </w:tr>
      <w:tr w14:paraId="1720A4F2">
        <w:tblPrEx>
          <w:tblCellMar>
            <w:top w:w="0" w:type="dxa"/>
            <w:left w:w="108" w:type="dxa"/>
            <w:bottom w:w="0" w:type="dxa"/>
            <w:right w:w="108" w:type="dxa"/>
          </w:tblCellMar>
        </w:tblPrEx>
        <w:trPr>
          <w:cantSplit/>
          <w:tblHeader/>
        </w:trPr>
        <w:tc>
          <w:tcPr>
            <w:tcW w:w="227" w:type="pct"/>
            <w:vMerge w:val="continue"/>
            <w:tcBorders>
              <w:left w:val="single" w:color="auto" w:sz="6" w:space="0"/>
              <w:right w:val="single" w:color="000000" w:sz="4" w:space="0"/>
            </w:tcBorders>
            <w:shd w:val="clear" w:color="auto" w:fill="auto"/>
            <w:vAlign w:val="center"/>
          </w:tcPr>
          <w:p w14:paraId="5E8081F4">
            <w:pPr>
              <w:snapToGrid w:val="0"/>
              <w:contextualSpacing/>
              <w:jc w:val="center"/>
              <w:textAlignment w:val="center"/>
              <w:rPr>
                <w:rFonts w:ascii="宋体" w:hAnsi="宋体" w:eastAsia="宋体" w:cs="宋体"/>
                <w:color w:val="000000"/>
                <w:szCs w:val="21"/>
              </w:rPr>
            </w:pPr>
          </w:p>
        </w:tc>
        <w:tc>
          <w:tcPr>
            <w:tcW w:w="464" w:type="pct"/>
            <w:vMerge w:val="continue"/>
            <w:tcBorders>
              <w:left w:val="single" w:color="000000" w:sz="4" w:space="0"/>
              <w:right w:val="single" w:color="000000" w:sz="4" w:space="0"/>
            </w:tcBorders>
            <w:shd w:val="clear" w:color="auto" w:fill="auto"/>
            <w:vAlign w:val="center"/>
          </w:tcPr>
          <w:p w14:paraId="6C65173E">
            <w:pPr>
              <w:snapToGrid w:val="0"/>
              <w:ind w:left="-107" w:leftChars="-51"/>
              <w:contextualSpacing/>
              <w:jc w:val="center"/>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000000" w:sz="6" w:space="0"/>
              <w:right w:val="single" w:color="000000" w:sz="4" w:space="0"/>
            </w:tcBorders>
            <w:shd w:val="clear" w:color="auto" w:fill="auto"/>
            <w:vAlign w:val="center"/>
          </w:tcPr>
          <w:p w14:paraId="0D06DF69">
            <w:pPr>
              <w:snapToGrid w:val="0"/>
              <w:jc w:val="left"/>
              <w:rPr>
                <w:rFonts w:ascii="宋体" w:hAnsi="宋体" w:eastAsia="宋体"/>
                <w:bCs/>
                <w:szCs w:val="21"/>
                <w:lang w:bidi="ar"/>
              </w:rPr>
            </w:pPr>
            <w:r>
              <w:rPr>
                <w:rFonts w:hint="eastAsia" w:ascii="宋体" w:hAnsi="宋体" w:eastAsia="宋体"/>
                <w:bCs/>
                <w:szCs w:val="21"/>
                <w:lang w:bidi="ar"/>
              </w:rPr>
              <w:t>5</w:t>
            </w:r>
            <w:r>
              <w:rPr>
                <w:rFonts w:ascii="宋体" w:hAnsi="宋体" w:eastAsia="宋体"/>
                <w:bCs/>
                <w:szCs w:val="21"/>
                <w:lang w:bidi="ar"/>
              </w:rPr>
              <w:t>.</w:t>
            </w:r>
            <w:r>
              <w:rPr>
                <w:rFonts w:hint="eastAsia" w:ascii="宋体" w:hAnsi="宋体" w:eastAsia="宋体"/>
                <w:bCs/>
                <w:szCs w:val="21"/>
                <w:lang w:bidi="ar"/>
              </w:rPr>
              <w:t>散热：一体式水冷</w:t>
            </w:r>
            <w:r>
              <w:rPr>
                <w:rFonts w:hint="eastAsia" w:ascii="宋体" w:hAnsi="宋体" w:eastAsia="宋体"/>
                <w:bCs/>
                <w:szCs w:val="21"/>
                <w:lang w:eastAsia="zh-CN" w:bidi="ar"/>
              </w:rPr>
              <w:t>；</w:t>
            </w:r>
            <w:r>
              <w:rPr>
                <w:rFonts w:hint="eastAsia" w:ascii="宋体" w:hAnsi="宋体" w:eastAsia="宋体"/>
                <w:bCs/>
                <w:szCs w:val="21"/>
                <w:lang w:bidi="ar"/>
              </w:rPr>
              <w:t>电源：ATX3.1标准、额定功率不低于700w</w:t>
            </w:r>
          </w:p>
        </w:tc>
        <w:tc>
          <w:tcPr>
            <w:tcW w:w="466" w:type="pct"/>
            <w:vMerge w:val="continue"/>
            <w:tcBorders>
              <w:left w:val="single" w:color="000000" w:sz="4" w:space="0"/>
              <w:right w:val="single" w:color="auto" w:sz="6" w:space="0"/>
            </w:tcBorders>
            <w:shd w:val="clear" w:color="auto" w:fill="auto"/>
            <w:vAlign w:val="center"/>
          </w:tcPr>
          <w:p w14:paraId="1EEC79D4">
            <w:pPr>
              <w:snapToGrid w:val="0"/>
              <w:contextualSpacing/>
              <w:jc w:val="center"/>
              <w:rPr>
                <w:rFonts w:ascii="宋体" w:hAnsi="宋体" w:eastAsia="宋体"/>
                <w:b/>
                <w:bCs/>
                <w:szCs w:val="21"/>
                <w:lang w:bidi="ar"/>
              </w:rPr>
            </w:pPr>
          </w:p>
        </w:tc>
      </w:tr>
      <w:tr w14:paraId="4FD59E0A">
        <w:tblPrEx>
          <w:tblCellMar>
            <w:top w:w="0" w:type="dxa"/>
            <w:left w:w="108" w:type="dxa"/>
            <w:bottom w:w="0" w:type="dxa"/>
            <w:right w:w="108" w:type="dxa"/>
          </w:tblCellMar>
        </w:tblPrEx>
        <w:trPr>
          <w:cantSplit/>
          <w:tblHeader/>
        </w:trPr>
        <w:tc>
          <w:tcPr>
            <w:tcW w:w="227" w:type="pct"/>
            <w:vMerge w:val="continue"/>
            <w:tcBorders>
              <w:left w:val="single" w:color="auto" w:sz="6" w:space="0"/>
              <w:bottom w:val="single" w:color="auto" w:sz="4" w:space="0"/>
              <w:right w:val="single" w:color="000000" w:sz="4" w:space="0"/>
            </w:tcBorders>
            <w:shd w:val="clear" w:color="auto" w:fill="auto"/>
            <w:vAlign w:val="center"/>
          </w:tcPr>
          <w:p w14:paraId="1684AFF7">
            <w:pPr>
              <w:snapToGrid w:val="0"/>
              <w:contextualSpacing/>
              <w:jc w:val="center"/>
              <w:textAlignment w:val="center"/>
              <w:rPr>
                <w:rFonts w:ascii="宋体" w:hAnsi="宋体" w:eastAsia="宋体" w:cs="宋体"/>
                <w:color w:val="000000"/>
                <w:szCs w:val="21"/>
              </w:rPr>
            </w:pPr>
          </w:p>
        </w:tc>
        <w:tc>
          <w:tcPr>
            <w:tcW w:w="464" w:type="pct"/>
            <w:vMerge w:val="continue"/>
            <w:tcBorders>
              <w:left w:val="single" w:color="000000" w:sz="4" w:space="0"/>
              <w:bottom w:val="single" w:color="auto" w:sz="4" w:space="0"/>
              <w:right w:val="single" w:color="000000" w:sz="4" w:space="0"/>
            </w:tcBorders>
            <w:shd w:val="clear" w:color="auto" w:fill="auto"/>
            <w:vAlign w:val="center"/>
          </w:tcPr>
          <w:p w14:paraId="45BF44F2">
            <w:pPr>
              <w:snapToGrid w:val="0"/>
              <w:ind w:left="-107" w:leftChars="-51"/>
              <w:contextualSpacing/>
              <w:jc w:val="center"/>
              <w:textAlignment w:val="center"/>
              <w:rPr>
                <w:rFonts w:ascii="宋体" w:hAnsi="宋体" w:eastAsia="宋体" w:cs="宋体"/>
                <w:color w:val="000000"/>
                <w:kern w:val="0"/>
                <w:szCs w:val="21"/>
                <w:lang w:bidi="ar"/>
              </w:rPr>
            </w:pPr>
          </w:p>
        </w:tc>
        <w:tc>
          <w:tcPr>
            <w:tcW w:w="3840" w:type="pct"/>
            <w:tcBorders>
              <w:top w:val="single" w:color="000000" w:sz="6" w:space="0"/>
              <w:left w:val="single" w:color="000000" w:sz="4" w:space="0"/>
              <w:bottom w:val="single" w:color="auto" w:sz="4" w:space="0"/>
              <w:right w:val="single" w:color="000000" w:sz="4" w:space="0"/>
            </w:tcBorders>
            <w:shd w:val="clear" w:color="auto" w:fill="auto"/>
            <w:vAlign w:val="center"/>
          </w:tcPr>
          <w:p w14:paraId="2BE47772">
            <w:pPr>
              <w:snapToGrid w:val="0"/>
              <w:jc w:val="left"/>
              <w:rPr>
                <w:rFonts w:ascii="宋体" w:hAnsi="宋体" w:eastAsia="宋体"/>
                <w:bCs/>
                <w:szCs w:val="21"/>
                <w:lang w:bidi="ar"/>
              </w:rPr>
            </w:pPr>
            <w:r>
              <w:rPr>
                <w:rFonts w:hint="eastAsia" w:ascii="宋体" w:hAnsi="宋体" w:eastAsia="宋体"/>
                <w:bCs/>
                <w:szCs w:val="21"/>
                <w:lang w:val="en-US" w:eastAsia="zh-CN" w:bidi="ar"/>
              </w:rPr>
              <w:t>6</w:t>
            </w:r>
            <w:r>
              <w:rPr>
                <w:rFonts w:ascii="宋体" w:hAnsi="宋体" w:eastAsia="宋体"/>
                <w:bCs/>
                <w:szCs w:val="21"/>
                <w:lang w:bidi="ar"/>
              </w:rPr>
              <w:t>.</w:t>
            </w:r>
            <w:r>
              <w:rPr>
                <w:rFonts w:hint="eastAsia" w:ascii="宋体" w:hAnsi="宋体" w:eastAsia="宋体"/>
                <w:bCs/>
                <w:szCs w:val="21"/>
                <w:lang w:bidi="ar"/>
              </w:rPr>
              <w:t xml:space="preserve">显示器：16:9比例、HDMI2.0接口≥2、DP接口≥1的显示器，27英寸4K分辨率144Hz刷新率IPS面板 </w:t>
            </w:r>
          </w:p>
        </w:tc>
        <w:tc>
          <w:tcPr>
            <w:tcW w:w="466" w:type="pct"/>
            <w:vMerge w:val="continue"/>
            <w:tcBorders>
              <w:left w:val="single" w:color="000000" w:sz="4" w:space="0"/>
              <w:bottom w:val="single" w:color="auto" w:sz="4" w:space="0"/>
              <w:right w:val="single" w:color="auto" w:sz="6" w:space="0"/>
            </w:tcBorders>
            <w:shd w:val="clear" w:color="auto" w:fill="auto"/>
            <w:vAlign w:val="center"/>
          </w:tcPr>
          <w:p w14:paraId="652D84C8">
            <w:pPr>
              <w:snapToGrid w:val="0"/>
              <w:contextualSpacing/>
              <w:jc w:val="center"/>
              <w:rPr>
                <w:rFonts w:ascii="宋体" w:hAnsi="宋体" w:eastAsia="宋体"/>
                <w:b/>
                <w:bCs/>
                <w:szCs w:val="21"/>
                <w:lang w:bidi="ar"/>
              </w:rPr>
            </w:pPr>
          </w:p>
        </w:tc>
      </w:tr>
      <w:tr w14:paraId="17E1C9BF">
        <w:tblPrEx>
          <w:tblCellMar>
            <w:top w:w="0" w:type="dxa"/>
            <w:left w:w="108" w:type="dxa"/>
            <w:bottom w:w="0" w:type="dxa"/>
            <w:right w:w="108" w:type="dxa"/>
          </w:tblCellMar>
        </w:tblPrEx>
        <w:trPr>
          <w:cantSplit/>
          <w:trHeight w:val="346" w:hRule="atLeast"/>
          <w:tblHeader/>
        </w:trPr>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C9C2E7">
            <w:pPr>
              <w:snapToGrid w:val="0"/>
              <w:contextualSpacing/>
              <w:jc w:val="center"/>
              <w:textAlignment w:val="center"/>
              <w:rPr>
                <w:rFonts w:ascii="宋体" w:hAnsi="宋体" w:eastAsia="宋体" w:cs="宋体"/>
                <w:color w:val="000000"/>
                <w:szCs w:val="21"/>
              </w:rPr>
            </w:pPr>
          </w:p>
          <w:p w14:paraId="37271DEC">
            <w:pPr>
              <w:snapToGrid w:val="0"/>
              <w:contextualSpacing/>
              <w:jc w:val="center"/>
              <w:textAlignment w:val="cente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val="en-US" w:eastAsia="zh-CN" w:bidi="ar"/>
              </w:rPr>
              <w:t>5</w:t>
            </w:r>
          </w:p>
        </w:tc>
        <w:tc>
          <w:tcPr>
            <w:tcW w:w="4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4E792C">
            <w:pPr>
              <w:snapToGrid w:val="0"/>
              <w:ind w:left="-107" w:leftChars="-51"/>
              <w:contextualSpacing/>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校园网核心管理终端</w:t>
            </w:r>
          </w:p>
        </w:tc>
        <w:tc>
          <w:tcPr>
            <w:tcW w:w="3840" w:type="pct"/>
            <w:tcBorders>
              <w:top w:val="single" w:color="auto" w:sz="4" w:space="0"/>
              <w:left w:val="single" w:color="auto" w:sz="4" w:space="0"/>
              <w:bottom w:val="single" w:color="auto" w:sz="4" w:space="0"/>
              <w:right w:val="single" w:color="auto" w:sz="4" w:space="0"/>
            </w:tcBorders>
            <w:shd w:val="clear" w:color="auto" w:fill="auto"/>
            <w:vAlign w:val="center"/>
          </w:tcPr>
          <w:p w14:paraId="319A57AE">
            <w:pPr>
              <w:snapToGrid w:val="0"/>
              <w:jc w:val="left"/>
              <w:rPr>
                <w:rFonts w:ascii="宋体" w:hAnsi="宋体" w:eastAsia="宋体" w:cs="宋体"/>
                <w:bCs/>
                <w:szCs w:val="21"/>
                <w:highlight w:val="none"/>
                <w:lang w:bidi="ar"/>
              </w:rPr>
            </w:pPr>
            <w:r>
              <w:rPr>
                <w:rFonts w:ascii="宋体" w:hAnsi="宋体" w:eastAsia="宋体"/>
                <w:bCs/>
                <w:szCs w:val="21"/>
                <w:highlight w:val="none"/>
                <w:lang w:bidi="ar"/>
              </w:rPr>
              <w:t>1.</w:t>
            </w:r>
            <w:r>
              <w:rPr>
                <w:rFonts w:hint="eastAsia" w:ascii="宋体" w:hAnsi="宋体" w:eastAsia="宋体"/>
                <w:bCs/>
                <w:szCs w:val="21"/>
                <w:highlight w:val="none"/>
                <w:lang w:bidi="ar"/>
              </w:rPr>
              <w:t>CPU：14核20线程 基础频率（默认主频）2.6 GHz 睿频最高</w:t>
            </w:r>
            <w:r>
              <w:rPr>
                <w:rFonts w:ascii="宋体" w:hAnsi="宋体" w:eastAsia="宋体"/>
                <w:bCs/>
                <w:szCs w:val="21"/>
                <w:highlight w:val="none"/>
                <w:lang w:bidi="ar"/>
              </w:rPr>
              <w:t>5.4 GHz</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97288C">
            <w:pPr>
              <w:snapToGrid w:val="0"/>
              <w:contextualSpacing/>
              <w:jc w:val="center"/>
              <w:rPr>
                <w:rFonts w:ascii="宋体" w:hAnsi="宋体" w:eastAsia="宋体"/>
                <w:b/>
                <w:bCs/>
                <w:szCs w:val="21"/>
                <w:highlight w:val="none"/>
                <w:lang w:bidi="ar"/>
              </w:rPr>
            </w:pPr>
            <w:r>
              <w:rPr>
                <w:rFonts w:hint="eastAsia" w:ascii="宋体" w:hAnsi="宋体" w:eastAsia="宋体"/>
                <w:szCs w:val="21"/>
                <w:highlight w:val="none"/>
                <w:lang w:val="en-US" w:eastAsia="zh-CN" w:bidi="ar"/>
              </w:rPr>
              <w:t>4</w:t>
            </w:r>
            <w:r>
              <w:rPr>
                <w:rFonts w:hint="eastAsia" w:ascii="宋体" w:hAnsi="宋体" w:eastAsia="宋体"/>
                <w:szCs w:val="21"/>
                <w:highlight w:val="none"/>
                <w:lang w:bidi="ar"/>
              </w:rPr>
              <w:t>台</w:t>
            </w:r>
          </w:p>
        </w:tc>
      </w:tr>
      <w:tr w14:paraId="61E48D20">
        <w:tblPrEx>
          <w:tblCellMar>
            <w:top w:w="0" w:type="dxa"/>
            <w:left w:w="108" w:type="dxa"/>
            <w:bottom w:w="0" w:type="dxa"/>
            <w:right w:w="108" w:type="dxa"/>
          </w:tblCellMar>
        </w:tblPrEx>
        <w:trPr>
          <w:cantSplit/>
          <w:trHeight w:val="345" w:hRule="atLeast"/>
          <w:tblHeader/>
        </w:trPr>
        <w:tc>
          <w:tcPr>
            <w:tcW w:w="2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F28A2B">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8EB5BC">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auto" w:sz="4" w:space="0"/>
              <w:left w:val="single" w:color="auto" w:sz="4" w:space="0"/>
              <w:bottom w:val="single" w:color="auto" w:sz="4" w:space="0"/>
              <w:right w:val="single" w:color="auto" w:sz="4" w:space="0"/>
            </w:tcBorders>
            <w:shd w:val="clear" w:color="auto" w:fill="auto"/>
            <w:vAlign w:val="center"/>
          </w:tcPr>
          <w:p w14:paraId="30376013">
            <w:pPr>
              <w:snapToGrid w:val="0"/>
              <w:jc w:val="left"/>
              <w:rPr>
                <w:rFonts w:ascii="宋体" w:hAnsi="宋体" w:eastAsia="宋体" w:cs="宋体"/>
                <w:bCs/>
                <w:szCs w:val="21"/>
                <w:lang w:bidi="ar"/>
              </w:rPr>
            </w:pPr>
            <w:r>
              <w:rPr>
                <w:rFonts w:hint="eastAsia" w:ascii="宋体" w:hAnsi="宋体" w:eastAsia="宋体"/>
                <w:bCs/>
                <w:szCs w:val="21"/>
                <w:lang w:bidi="ar"/>
              </w:rPr>
              <w:t>2</w:t>
            </w:r>
            <w:r>
              <w:rPr>
                <w:rFonts w:ascii="宋体" w:hAnsi="宋体" w:eastAsia="宋体"/>
                <w:bCs/>
                <w:szCs w:val="21"/>
                <w:lang w:bidi="ar"/>
              </w:rPr>
              <w:t>.</w:t>
            </w:r>
            <w:r>
              <w:rPr>
                <w:rFonts w:hint="eastAsia" w:ascii="宋体" w:hAnsi="宋体" w:eastAsia="宋体"/>
                <w:bCs/>
                <w:szCs w:val="21"/>
                <w:lang w:bidi="ar"/>
              </w:rPr>
              <w:t>显卡：集成显卡</w:t>
            </w:r>
            <w:r>
              <w:rPr>
                <w:rFonts w:hint="eastAsia" w:ascii="宋体" w:hAnsi="宋体" w:eastAsia="宋体"/>
                <w:bCs/>
                <w:szCs w:val="21"/>
                <w:lang w:eastAsia="zh-CN" w:bidi="ar"/>
              </w:rPr>
              <w:t>；</w:t>
            </w:r>
            <w:r>
              <w:rPr>
                <w:rFonts w:hint="eastAsia" w:ascii="宋体" w:hAnsi="宋体" w:eastAsia="宋体"/>
                <w:bCs/>
                <w:szCs w:val="21"/>
                <w:lang w:bidi="ar"/>
              </w:rPr>
              <w:t>内存：DDR5规格双通道内存16G；硬盘：1TB固态硬盘</w:t>
            </w: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85BE37">
            <w:pPr>
              <w:snapToGrid w:val="0"/>
              <w:contextualSpacing/>
              <w:jc w:val="center"/>
              <w:rPr>
                <w:rFonts w:ascii="宋体" w:hAnsi="宋体" w:eastAsia="宋体"/>
                <w:b/>
                <w:bCs/>
                <w:szCs w:val="21"/>
                <w:lang w:bidi="ar"/>
              </w:rPr>
            </w:pPr>
          </w:p>
        </w:tc>
      </w:tr>
      <w:tr w14:paraId="78C6BA5D">
        <w:tblPrEx>
          <w:tblCellMar>
            <w:top w:w="0" w:type="dxa"/>
            <w:left w:w="108" w:type="dxa"/>
            <w:bottom w:w="0" w:type="dxa"/>
            <w:right w:w="108" w:type="dxa"/>
          </w:tblCellMar>
        </w:tblPrEx>
        <w:trPr>
          <w:cantSplit/>
          <w:trHeight w:val="312" w:hRule="atLeast"/>
          <w:tblHeader/>
        </w:trPr>
        <w:tc>
          <w:tcPr>
            <w:tcW w:w="2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59DCB">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17D1C0">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auto" w:sz="4" w:space="0"/>
              <w:left w:val="single" w:color="auto" w:sz="4" w:space="0"/>
              <w:bottom w:val="single" w:color="auto" w:sz="4" w:space="0"/>
              <w:right w:val="single" w:color="auto" w:sz="4" w:space="0"/>
            </w:tcBorders>
            <w:shd w:val="clear" w:color="auto" w:fill="auto"/>
            <w:vAlign w:val="center"/>
          </w:tcPr>
          <w:p w14:paraId="723D5741">
            <w:pPr>
              <w:snapToGrid w:val="0"/>
              <w:jc w:val="left"/>
              <w:rPr>
                <w:rFonts w:ascii="宋体" w:hAnsi="宋体" w:eastAsia="宋体" w:cs="宋体"/>
                <w:bCs/>
                <w:szCs w:val="21"/>
                <w:lang w:bidi="ar"/>
              </w:rPr>
            </w:pPr>
            <w:r>
              <w:rPr>
                <w:rFonts w:ascii="宋体" w:hAnsi="宋体" w:eastAsia="宋体"/>
                <w:bCs/>
                <w:szCs w:val="21"/>
                <w:lang w:bidi="ar"/>
              </w:rPr>
              <w:t>3.</w:t>
            </w:r>
            <w:r>
              <w:rPr>
                <w:rFonts w:hint="eastAsia" w:ascii="宋体" w:hAnsi="宋体" w:eastAsia="宋体"/>
                <w:bCs/>
                <w:szCs w:val="21"/>
                <w:lang w:bidi="ar"/>
              </w:rPr>
              <w:t>屏幕：14寸OLED，分辨率2560*1600，刷新率60Hz</w:t>
            </w: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2E7C64">
            <w:pPr>
              <w:snapToGrid w:val="0"/>
              <w:contextualSpacing/>
              <w:jc w:val="center"/>
              <w:rPr>
                <w:rFonts w:ascii="宋体" w:hAnsi="宋体" w:eastAsia="宋体"/>
                <w:b/>
                <w:bCs/>
                <w:szCs w:val="21"/>
                <w:lang w:bidi="ar"/>
              </w:rPr>
            </w:pPr>
          </w:p>
        </w:tc>
      </w:tr>
      <w:tr w14:paraId="2F38481D">
        <w:tblPrEx>
          <w:tblCellMar>
            <w:top w:w="0" w:type="dxa"/>
            <w:left w:w="108" w:type="dxa"/>
            <w:bottom w:w="0" w:type="dxa"/>
            <w:right w:w="108" w:type="dxa"/>
          </w:tblCellMar>
        </w:tblPrEx>
        <w:trPr>
          <w:cantSplit/>
          <w:tblHeader/>
        </w:trPr>
        <w:tc>
          <w:tcPr>
            <w:tcW w:w="2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3367FC">
            <w:pPr>
              <w:snapToGrid w:val="0"/>
              <w:contextualSpacing/>
              <w:jc w:val="center"/>
              <w:textAlignment w:val="center"/>
              <w:rPr>
                <w:rFonts w:ascii="宋体" w:hAnsi="宋体" w:eastAsia="宋体" w:cs="宋体"/>
                <w:color w:val="000000"/>
                <w:kern w:val="0"/>
                <w:szCs w:val="21"/>
                <w:lang w:bidi="ar"/>
              </w:rPr>
            </w:pPr>
          </w:p>
        </w:tc>
        <w:tc>
          <w:tcPr>
            <w:tcW w:w="4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4B9FBC">
            <w:pPr>
              <w:snapToGrid w:val="0"/>
              <w:ind w:left="-107" w:leftChars="-51"/>
              <w:contextualSpacing/>
              <w:jc w:val="left"/>
              <w:textAlignment w:val="center"/>
              <w:rPr>
                <w:rFonts w:ascii="宋体" w:hAnsi="宋体" w:eastAsia="宋体" w:cs="宋体"/>
                <w:color w:val="000000"/>
                <w:kern w:val="0"/>
                <w:szCs w:val="21"/>
                <w:lang w:bidi="ar"/>
              </w:rPr>
            </w:pPr>
          </w:p>
        </w:tc>
        <w:tc>
          <w:tcPr>
            <w:tcW w:w="3840" w:type="pct"/>
            <w:tcBorders>
              <w:top w:val="single" w:color="auto" w:sz="4" w:space="0"/>
              <w:left w:val="single" w:color="auto" w:sz="4" w:space="0"/>
              <w:bottom w:val="single" w:color="auto" w:sz="4" w:space="0"/>
              <w:right w:val="single" w:color="auto" w:sz="4" w:space="0"/>
            </w:tcBorders>
            <w:shd w:val="clear" w:color="auto" w:fill="auto"/>
            <w:vAlign w:val="center"/>
          </w:tcPr>
          <w:p w14:paraId="10CA4132">
            <w:pPr>
              <w:snapToGrid w:val="0"/>
              <w:jc w:val="left"/>
              <w:rPr>
                <w:rFonts w:ascii="宋体" w:hAnsi="宋体" w:eastAsia="宋体" w:cs="宋体"/>
                <w:bCs/>
                <w:szCs w:val="21"/>
                <w:lang w:bidi="ar"/>
              </w:rPr>
            </w:pPr>
            <w:r>
              <w:rPr>
                <w:rFonts w:hint="eastAsia" w:ascii="宋体" w:hAnsi="宋体" w:eastAsia="宋体"/>
                <w:bCs/>
                <w:szCs w:val="21"/>
                <w:lang w:val="en-US" w:eastAsia="zh-CN" w:bidi="ar"/>
              </w:rPr>
              <w:t>4</w:t>
            </w:r>
            <w:r>
              <w:rPr>
                <w:rFonts w:ascii="宋体" w:hAnsi="宋体" w:eastAsia="宋体"/>
                <w:bCs/>
                <w:szCs w:val="21"/>
                <w:lang w:bidi="ar"/>
              </w:rPr>
              <w:t>.</w:t>
            </w:r>
            <w:r>
              <w:rPr>
                <w:rFonts w:hint="eastAsia" w:ascii="宋体" w:hAnsi="宋体" w:eastAsia="宋体"/>
                <w:bCs/>
                <w:szCs w:val="21"/>
                <w:lang w:bidi="ar"/>
              </w:rPr>
              <w:t>无线网卡：内置WIFI6无线网卡</w:t>
            </w: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A45C46">
            <w:pPr>
              <w:snapToGrid w:val="0"/>
              <w:contextualSpacing/>
              <w:jc w:val="center"/>
              <w:rPr>
                <w:rFonts w:ascii="宋体" w:hAnsi="宋体" w:eastAsia="宋体"/>
                <w:b/>
                <w:bCs/>
                <w:szCs w:val="21"/>
                <w:lang w:bidi="ar"/>
              </w:rPr>
            </w:pPr>
          </w:p>
        </w:tc>
      </w:tr>
    </w:tbl>
    <w:p w14:paraId="0A2B7483">
      <w:bookmarkStart w:id="174" w:name="_GoBack"/>
      <w:bookmarkEnd w:id="174"/>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Noto Sans Mono CJK JP Regular">
    <w:altName w:val="Arial"/>
    <w:panose1 w:val="00000000000000000000"/>
    <w:charset w:val="00"/>
    <w:family w:val="swiss"/>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宋体">
    <w:panose1 w:val="02010600030101010101"/>
    <w:charset w:val="86"/>
    <w:family w:val="auto"/>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FBDD5"/>
    <w:multiLevelType w:val="singleLevel"/>
    <w:tmpl w:val="8C0FBDD5"/>
    <w:lvl w:ilvl="0" w:tentative="0">
      <w:start w:val="1"/>
      <w:numFmt w:val="bullet"/>
      <w:lvlText w:val=""/>
      <w:lvlJc w:val="left"/>
      <w:pPr>
        <w:ind w:left="420" w:hanging="420"/>
      </w:pPr>
      <w:rPr>
        <w:rFonts w:hint="default" w:ascii="Wingdings" w:hAnsi="Wingdings"/>
      </w:rPr>
    </w:lvl>
  </w:abstractNum>
  <w:abstractNum w:abstractNumId="1">
    <w:nsid w:val="0E82337B"/>
    <w:multiLevelType w:val="multilevel"/>
    <w:tmpl w:val="0E82337B"/>
    <w:lvl w:ilvl="0" w:tentative="0">
      <w:start w:val="1"/>
      <w:numFmt w:val="bullet"/>
      <w:lvlText w:val=""/>
      <w:lvlJc w:val="left"/>
      <w:pPr>
        <w:ind w:left="701" w:hanging="420"/>
      </w:pPr>
      <w:rPr>
        <w:rFonts w:hint="default" w:ascii="Wingdings" w:hAnsi="Wingdings"/>
      </w:rPr>
    </w:lvl>
    <w:lvl w:ilvl="1" w:tentative="0">
      <w:start w:val="1"/>
      <w:numFmt w:val="bullet"/>
      <w:lvlText w:val=""/>
      <w:lvlJc w:val="left"/>
      <w:pPr>
        <w:ind w:left="1121" w:hanging="420"/>
      </w:pPr>
      <w:rPr>
        <w:rFonts w:hint="default" w:ascii="Wingdings" w:hAnsi="Wingdings"/>
      </w:rPr>
    </w:lvl>
    <w:lvl w:ilvl="2" w:tentative="0">
      <w:start w:val="1"/>
      <w:numFmt w:val="bullet"/>
      <w:lvlText w:val=""/>
      <w:lvlJc w:val="left"/>
      <w:pPr>
        <w:ind w:left="1541" w:hanging="420"/>
      </w:pPr>
      <w:rPr>
        <w:rFonts w:hint="default" w:ascii="Wingdings" w:hAnsi="Wingdings"/>
      </w:rPr>
    </w:lvl>
    <w:lvl w:ilvl="3" w:tentative="0">
      <w:start w:val="1"/>
      <w:numFmt w:val="bullet"/>
      <w:lvlText w:val=""/>
      <w:lvlJc w:val="left"/>
      <w:pPr>
        <w:ind w:left="1961" w:hanging="420"/>
      </w:pPr>
      <w:rPr>
        <w:rFonts w:hint="default" w:ascii="Wingdings" w:hAnsi="Wingdings"/>
      </w:rPr>
    </w:lvl>
    <w:lvl w:ilvl="4" w:tentative="0">
      <w:start w:val="1"/>
      <w:numFmt w:val="bullet"/>
      <w:lvlText w:val=""/>
      <w:lvlJc w:val="left"/>
      <w:pPr>
        <w:ind w:left="2381" w:hanging="420"/>
      </w:pPr>
      <w:rPr>
        <w:rFonts w:hint="default" w:ascii="Wingdings" w:hAnsi="Wingdings"/>
      </w:rPr>
    </w:lvl>
    <w:lvl w:ilvl="5" w:tentative="0">
      <w:start w:val="1"/>
      <w:numFmt w:val="bullet"/>
      <w:lvlText w:val=""/>
      <w:lvlJc w:val="left"/>
      <w:pPr>
        <w:ind w:left="2801" w:hanging="420"/>
      </w:pPr>
      <w:rPr>
        <w:rFonts w:hint="default" w:ascii="Wingdings" w:hAnsi="Wingdings"/>
      </w:rPr>
    </w:lvl>
    <w:lvl w:ilvl="6" w:tentative="0">
      <w:start w:val="1"/>
      <w:numFmt w:val="bullet"/>
      <w:lvlText w:val=""/>
      <w:lvlJc w:val="left"/>
      <w:pPr>
        <w:ind w:left="3221" w:hanging="420"/>
      </w:pPr>
      <w:rPr>
        <w:rFonts w:hint="default" w:ascii="Wingdings" w:hAnsi="Wingdings"/>
      </w:rPr>
    </w:lvl>
    <w:lvl w:ilvl="7" w:tentative="0">
      <w:start w:val="1"/>
      <w:numFmt w:val="bullet"/>
      <w:lvlText w:val=""/>
      <w:lvlJc w:val="left"/>
      <w:pPr>
        <w:ind w:left="3641" w:hanging="420"/>
      </w:pPr>
      <w:rPr>
        <w:rFonts w:hint="default" w:ascii="Wingdings" w:hAnsi="Wingdings"/>
      </w:rPr>
    </w:lvl>
    <w:lvl w:ilvl="8" w:tentative="0">
      <w:start w:val="1"/>
      <w:numFmt w:val="bullet"/>
      <w:lvlText w:val=""/>
      <w:lvlJc w:val="left"/>
      <w:pPr>
        <w:ind w:left="4061" w:hanging="420"/>
      </w:pPr>
      <w:rPr>
        <w:rFonts w:hint="default" w:ascii="Wingdings" w:hAnsi="Wingdings"/>
      </w:rPr>
    </w:lvl>
  </w:abstractNum>
  <w:abstractNum w:abstractNumId="2">
    <w:nsid w:val="3B83AFA1"/>
    <w:multiLevelType w:val="singleLevel"/>
    <w:tmpl w:val="3B83AFA1"/>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B82230"/>
    <w:rsid w:val="33E35A85"/>
    <w:rsid w:val="44556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toc 7"/>
    <w:basedOn w:val="1"/>
    <w:next w:val="1"/>
    <w:qFormat/>
    <w:uiPriority w:val="39"/>
    <w:pPr>
      <w:ind w:left="1260"/>
      <w:jc w:val="left"/>
    </w:pPr>
    <w:rPr>
      <w:sz w:val="18"/>
      <w:szCs w:val="18"/>
    </w:rPr>
  </w:style>
  <w:style w:type="paragraph" w:styleId="6">
    <w:name w:val="Body Text"/>
    <w:basedOn w:val="1"/>
    <w:next w:val="7"/>
    <w:unhideWhenUsed/>
    <w:qFormat/>
    <w:uiPriority w:val="0"/>
    <w:pPr>
      <w:spacing w:after="120"/>
    </w:pPr>
    <w:rPr>
      <w:rFonts w:ascii="@微软简标宋" w:hAnsi="@微软简标宋" w:eastAsia="@微软简标宋" w:cs="@微软简标宋"/>
      <w:szCs w:val="24"/>
      <w:lang w:val="zh-CN"/>
    </w:rPr>
  </w:style>
  <w:style w:type="paragraph" w:customStyle="1" w:styleId="7">
    <w:name w:val="Default"/>
    <w:autoRedefine/>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8">
    <w:name w:val="Body Text Indent"/>
    <w:basedOn w:val="1"/>
    <w:next w:val="9"/>
    <w:unhideWhenUsed/>
    <w:qFormat/>
    <w:uiPriority w:val="0"/>
    <w:pPr>
      <w:ind w:firstLine="645"/>
    </w:pPr>
    <w:rPr>
      <w:rFonts w:ascii="楷体_GB2312" w:eastAsia="楷体_GB2312"/>
      <w:sz w:val="32"/>
    </w:rPr>
  </w:style>
  <w:style w:type="paragraph" w:styleId="9">
    <w:name w:val="envelope return"/>
    <w:basedOn w:val="1"/>
    <w:next w:val="5"/>
    <w:qFormat/>
    <w:uiPriority w:val="0"/>
    <w:pPr>
      <w:snapToGrid w:val="0"/>
    </w:pPr>
    <w:rPr>
      <w:rFonts w:ascii="Arial" w:hAnsi="Arial"/>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8"/>
    <w:next w:val="1"/>
    <w:qFormat/>
    <w:uiPriority w:val="0"/>
    <w:pPr>
      <w:ind w:firstLine="420"/>
    </w:pPr>
    <w:rPr>
      <w:rFonts w:hAnsi="Calibri"/>
      <w:kern w:val="0"/>
      <w:sz w:val="20"/>
    </w:rPr>
  </w:style>
  <w:style w:type="table" w:styleId="13">
    <w:name w:val="Table Grid"/>
    <w:basedOn w:val="1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样式1"/>
    <w:basedOn w:val="1"/>
    <w:uiPriority w:val="0"/>
    <w:rPr>
      <w:rFonts w:hint="eastAsia" w:ascii="@仿宋_GB2312" w:hAnsi="@仿宋_GB2312" w:eastAsia="仿宋" w:cs="@仿宋_GB2312"/>
    </w:rPr>
  </w:style>
  <w:style w:type="paragraph" w:customStyle="1" w:styleId="16">
    <w:name w:val="宋体"/>
    <w:basedOn w:val="1"/>
    <w:uiPriority w:val="0"/>
    <w:rPr>
      <w:rFonts w:hint="eastAsia" w:ascii="@仿宋_GB2312" w:hAnsi="@仿宋_GB2312" w:eastAsia="宋体" w:cs="@仿宋_GB2312"/>
    </w:rPr>
  </w:style>
  <w:style w:type="paragraph" w:customStyle="1" w:styleId="17">
    <w:name w:val="D&amp;L"/>
    <w:basedOn w:val="10"/>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19">
    <w:name w:val="*正文"/>
    <w:basedOn w:val="1"/>
    <w:qFormat/>
    <w:uiPriority w:val="0"/>
    <w:pPr>
      <w:spacing w:line="300" w:lineRule="auto"/>
      <w:ind w:firstLine="200"/>
    </w:pPr>
    <w:rPr>
      <w:rFonts w:ascii="宋体" w:hAnsi="宋体" w:eastAsia="宋体"/>
      <w:kern w:val="0"/>
    </w:rPr>
  </w:style>
  <w:style w:type="paragraph" w:customStyle="1" w:styleId="20">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lang w:val="zh-CN" w:bidi="zh-CN"/>
    </w:rPr>
  </w:style>
  <w:style w:type="paragraph" w:customStyle="1" w:styleId="21">
    <w:name w:val="0"/>
    <w:basedOn w:val="1"/>
    <w:qFormat/>
    <w:uiPriority w:val="0"/>
    <w:pPr>
      <w:widowControl/>
      <w:snapToGrid w:val="0"/>
    </w:pPr>
    <w:rPr>
      <w:rFonts w:ascii="Times New Roman" w:hAnsi="Times New Roman" w:eastAsia="宋体"/>
      <w:kern w:val="0"/>
      <w:szCs w:val="21"/>
    </w:rPr>
  </w:style>
  <w:style w:type="paragraph" w:styleId="2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2025-09-24T00:41:00Z</dcterms:created>
  <dc:creator>admin</dc:creator>
  <cp:lastModifiedBy>王婧</cp:lastModifiedBy>
  <dcterms:modified xsi:type="dcterms:W3CDTF">2026-02-11T01:35:17Z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58D7AF7D64DC4296B54ADDF347B1BCDC_12</vt:lpwstr>
  </property>
  <property fmtid="{D5CDD505-2E9C-101B-9397-08002B2CF9AE}" pid="4" name="KSOTemplateDocerSaveRecord">
    <vt:lpwstr>eyJoZGlkIjoiOGE4YmZlNDdlMDMyMGIyYjkwZGM2YWY1OTY0ZjIxZDMiLCJ1c2VySWQiOiIxNTE4NTIyNTc5In0=</vt:lpwstr>
  </property>
</Properties>
</file>