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E6FBA">
      <w:pPr>
        <w:pStyle w:val="3"/>
        <w:spacing w:line="360" w:lineRule="auto"/>
        <w:jc w:val="center"/>
        <w:rPr>
          <w:rFonts w:hint="eastAsia" w:ascii="宋体" w:hAnsi="宋体"/>
          <w:highlight w:val="none"/>
        </w:rPr>
      </w:pPr>
      <w:bookmarkStart w:id="1" w:name="_GoBack"/>
      <w:bookmarkEnd w:id="1"/>
      <w:r>
        <w:rPr>
          <w:rFonts w:hint="eastAsia"/>
          <w:b/>
          <w:highlight w:val="none"/>
        </w:rPr>
        <w:t>采购需求</w:t>
      </w:r>
    </w:p>
    <w:p w14:paraId="71CA8DA6">
      <w:pPr>
        <w:spacing w:line="360" w:lineRule="auto"/>
        <w:rPr>
          <w:rFonts w:hint="eastAsia" w:ascii="宋体" w:hAnsi="宋体"/>
          <w:sz w:val="24"/>
          <w:szCs w:val="28"/>
          <w:highlight w:val="none"/>
        </w:rPr>
      </w:pPr>
      <w:bookmarkStart w:id="0" w:name="_Hlt509716920"/>
      <w:bookmarkEnd w:id="0"/>
      <w:r>
        <w:rPr>
          <w:rFonts w:hint="eastAsia" w:ascii="宋体" w:hAnsi="宋体"/>
          <w:sz w:val="24"/>
          <w:szCs w:val="28"/>
          <w:highlight w:val="none"/>
        </w:rPr>
        <w:t>前注：</w:t>
      </w:r>
    </w:p>
    <w:p w14:paraId="0D4E1AE8">
      <w:pPr>
        <w:numPr>
          <w:ilvl w:val="0"/>
          <w:numId w:val="1"/>
        </w:numPr>
        <w:spacing w:line="360" w:lineRule="auto"/>
        <w:rPr>
          <w:rFonts w:hint="eastAsia" w:ascii="宋体" w:hAnsi="宋体"/>
          <w:sz w:val="24"/>
          <w:highlight w:val="none"/>
        </w:rPr>
      </w:pPr>
      <w:r>
        <w:rPr>
          <w:rFonts w:hint="eastAsia" w:ascii="宋体" w:hAnsi="宋体"/>
          <w:sz w:val="24"/>
          <w:szCs w:val="28"/>
          <w:highlight w:val="none"/>
        </w:rPr>
        <w:t>本需求中提出的技术方案仅为参考，如无明确限制，供应商可以进行优化，提供满足用户实际需要的更优（或者性能实质上不低于的）</w:t>
      </w:r>
      <w:r>
        <w:rPr>
          <w:rFonts w:hint="eastAsia" w:ascii="宋体" w:hAnsi="宋体"/>
          <w:sz w:val="24"/>
          <w:highlight w:val="none"/>
        </w:rPr>
        <w:t>技术方案或者设备配置，且此方案或配置须经评审委员会评审认可；</w:t>
      </w:r>
      <w:r>
        <w:rPr>
          <w:rFonts w:hint="eastAsia" w:ascii="宋体" w:hAnsi="宋体"/>
          <w:sz w:val="24"/>
          <w:highlight w:val="none"/>
        </w:rPr>
        <w:cr/>
      </w:r>
      <w:r>
        <w:rPr>
          <w:rFonts w:hint="eastAsia" w:ascii="宋体" w:hAnsi="宋体"/>
          <w:sz w:val="24"/>
          <w:highlight w:val="none"/>
        </w:rPr>
        <w:t>2、为鼓励不同品牌的充分竞争，如某设备的某技术参数或要求属于个别品牌专有，则该技术参数及要求不具有限制性，供应商可对该参数或要求进行适当调整，并应当说明调整的理由，且此调整须经评审委员会评审认可；</w:t>
      </w:r>
    </w:p>
    <w:p w14:paraId="17BFE45F">
      <w:pPr>
        <w:spacing w:line="360" w:lineRule="auto"/>
        <w:rPr>
          <w:rFonts w:hint="eastAsia" w:ascii="宋体" w:hAnsi="宋体"/>
          <w:sz w:val="24"/>
          <w:highlight w:val="none"/>
        </w:rPr>
      </w:pPr>
      <w:r>
        <w:rPr>
          <w:rFonts w:hint="eastAsia" w:ascii="宋体" w:hAnsi="宋体"/>
          <w:sz w:val="24"/>
          <w:highlight w:val="none"/>
        </w:rPr>
        <w:t>3、为有助于供应商选择投标产品，若项目需求中提供了推荐品牌（或型号）、参考品牌（或型号）等，这些品牌（或型号）仅供参考，并无限制性。供应商可以选择性能不低于推荐（或参考）的品牌（或型号）的其他品牌产品，但投标时应当提供有关技术证明材料，未提供的可能导致投标无效。</w:t>
      </w:r>
    </w:p>
    <w:p w14:paraId="7F0177DF">
      <w:pPr>
        <w:spacing w:line="360" w:lineRule="auto"/>
        <w:rPr>
          <w:rFonts w:hint="eastAsia" w:ascii="宋体" w:hAnsi="宋体"/>
          <w:sz w:val="24"/>
          <w:szCs w:val="28"/>
          <w:highlight w:val="none"/>
        </w:rPr>
      </w:pPr>
      <w:r>
        <w:rPr>
          <w:rFonts w:hint="eastAsia" w:ascii="宋体" w:hAnsi="宋体"/>
          <w:sz w:val="24"/>
          <w:szCs w:val="28"/>
          <w:highlight w:val="none"/>
        </w:rPr>
        <w:t>4、供应商应当在响应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被否决投标、或中标/成交后无法完工，供应商自行承担一切后果；</w:t>
      </w:r>
    </w:p>
    <w:p w14:paraId="6B53A022">
      <w:pPr>
        <w:spacing w:line="360" w:lineRule="auto"/>
        <w:rPr>
          <w:rFonts w:ascii="宋体" w:hAnsi="宋体"/>
          <w:sz w:val="24"/>
          <w:szCs w:val="28"/>
          <w:highlight w:val="none"/>
        </w:rPr>
      </w:pPr>
      <w:r>
        <w:rPr>
          <w:rFonts w:hint="eastAsia" w:ascii="宋体" w:hAnsi="宋体"/>
          <w:sz w:val="24"/>
          <w:szCs w:val="28"/>
          <w:highlight w:val="none"/>
        </w:rPr>
        <w:t>5、根据《关于规范政府采购进口产品有关工作的通知》及政府采购管理部门的相关规定，下列采购需求中如涉及进口产品则</w:t>
      </w:r>
      <w:r>
        <w:rPr>
          <w:rFonts w:ascii="宋体" w:hAnsi="宋体"/>
          <w:sz w:val="24"/>
          <w:szCs w:val="28"/>
          <w:highlight w:val="none"/>
        </w:rPr>
        <w:t>已履行相关手续</w:t>
      </w:r>
      <w:r>
        <w:rPr>
          <w:rFonts w:hint="eastAsia" w:ascii="宋体" w:hAnsi="宋体"/>
          <w:sz w:val="24"/>
          <w:szCs w:val="28"/>
          <w:highlight w:val="none"/>
        </w:rPr>
        <w:t>，</w:t>
      </w:r>
      <w:r>
        <w:rPr>
          <w:rFonts w:ascii="宋体" w:hAnsi="宋体"/>
          <w:sz w:val="24"/>
          <w:szCs w:val="28"/>
          <w:highlight w:val="none"/>
        </w:rPr>
        <w:t>经核准采购进口设备，但不限制满足比选文件要求的国内产品参与投标竞争；</w:t>
      </w:r>
    </w:p>
    <w:p w14:paraId="0186BD4C">
      <w:pPr>
        <w:spacing w:line="360" w:lineRule="auto"/>
        <w:rPr>
          <w:rFonts w:ascii="宋体" w:hAnsi="宋体"/>
          <w:sz w:val="24"/>
          <w:szCs w:val="28"/>
          <w:highlight w:val="none"/>
        </w:rPr>
      </w:pPr>
      <w:r>
        <w:rPr>
          <w:rFonts w:hint="eastAsia" w:ascii="宋体" w:hAnsi="宋体"/>
          <w:sz w:val="24"/>
          <w:szCs w:val="28"/>
          <w:highlight w:val="none"/>
        </w:rPr>
        <w:t>6、在采购活动开始前没有获准采购进口产品而开展采购活动的，视同为拒绝采购进口产品；</w:t>
      </w:r>
    </w:p>
    <w:p w14:paraId="0B6F0F5E">
      <w:pPr>
        <w:spacing w:line="360" w:lineRule="auto"/>
        <w:rPr>
          <w:rFonts w:hint="eastAsia" w:ascii="宋体" w:hAnsi="宋体"/>
          <w:sz w:val="24"/>
          <w:szCs w:val="28"/>
          <w:highlight w:val="none"/>
        </w:rPr>
      </w:pPr>
      <w:r>
        <w:rPr>
          <w:rFonts w:hint="eastAsia" w:ascii="宋体" w:hAnsi="宋体"/>
          <w:sz w:val="24"/>
          <w:szCs w:val="28"/>
          <w:highlight w:val="none"/>
        </w:rPr>
        <w:t>7、下列采购需求中：如属于最新一期《节能产品政府采购清单》中政府强制采购的节能产品，则供应商所投产品须为最新一期《节能产品政府采购清单》内所列产品；</w:t>
      </w:r>
    </w:p>
    <w:p w14:paraId="3D1D85E9">
      <w:pPr>
        <w:spacing w:line="360" w:lineRule="auto"/>
        <w:rPr>
          <w:rFonts w:hint="eastAsia" w:ascii="宋体" w:hAnsi="宋体"/>
          <w:sz w:val="24"/>
          <w:highlight w:val="none"/>
        </w:rPr>
      </w:pPr>
      <w:r>
        <w:rPr>
          <w:rFonts w:hint="eastAsia" w:ascii="宋体" w:hAnsi="宋体"/>
          <w:sz w:val="24"/>
          <w:highlight w:val="none"/>
        </w:rPr>
        <w:t>8、下列采购需求中：标注▲的产品，供应商在响应文件《主要成交标的承诺函》中填写名称、规格、型号、数量、单价等信息，承诺函随评审结果一并公告；</w:t>
      </w:r>
    </w:p>
    <w:p w14:paraId="372AFF57">
      <w:pPr>
        <w:spacing w:line="360" w:lineRule="auto"/>
        <w:rPr>
          <w:rFonts w:hint="eastAsia" w:ascii="宋体" w:hAnsi="宋体"/>
          <w:sz w:val="24"/>
          <w:highlight w:val="none"/>
        </w:rPr>
      </w:pPr>
      <w:r>
        <w:rPr>
          <w:rFonts w:hint="eastAsia" w:ascii="宋体" w:hAnsi="宋体"/>
          <w:sz w:val="24"/>
          <w:highlight w:val="none"/>
        </w:rPr>
        <w:t>9、单一产品采购项目中，提供同一品牌产品的不同供应商参加同一合同项下投标的，以一家供应商计算有效供应商数量。非单一产品采购项目中，提供标注▲的产品均为同一品牌的不同供应商参加同一合同项下投标的，以一家供应商计算有效供应商数量。</w:t>
      </w:r>
    </w:p>
    <w:p w14:paraId="7F3E7730">
      <w:pPr>
        <w:autoSpaceDE w:val="0"/>
        <w:autoSpaceDN w:val="0"/>
        <w:adjustRightInd w:val="0"/>
        <w:spacing w:line="360" w:lineRule="auto"/>
        <w:rPr>
          <w:rFonts w:hint="eastAsia" w:ascii="宋体" w:hAnsi="宋体"/>
          <w:sz w:val="24"/>
          <w:szCs w:val="28"/>
          <w:highlight w:val="none"/>
        </w:rPr>
      </w:pPr>
      <w:r>
        <w:rPr>
          <w:rFonts w:hint="eastAsia" w:ascii="宋体" w:hAnsi="宋体"/>
          <w:sz w:val="24"/>
          <w:szCs w:val="28"/>
          <w:highlight w:val="none"/>
        </w:rPr>
        <w:t>10、如对本比选文件有任何疑问或澄清要求，请按本比选文件“供应商须知前附表”中的约定方式招标采购代理机构，或接受答疑截止时间前联系采购人。否则视同理解和接受。开标后采购人或采购代理机构不再受理对比选文件条款提出的质疑。</w:t>
      </w:r>
    </w:p>
    <w:p w14:paraId="7F6CE4D9">
      <w:pPr>
        <w:autoSpaceDE w:val="0"/>
        <w:autoSpaceDN w:val="0"/>
        <w:adjustRightInd w:val="0"/>
        <w:spacing w:line="360" w:lineRule="auto"/>
        <w:rPr>
          <w:rFonts w:hint="eastAsia" w:ascii="宋体" w:hAnsi="宋体"/>
          <w:b/>
          <w:bCs/>
          <w:sz w:val="24"/>
          <w:szCs w:val="28"/>
          <w:highlight w:val="none"/>
        </w:rPr>
      </w:pPr>
      <w:r>
        <w:rPr>
          <w:rFonts w:hint="eastAsia" w:ascii="宋体" w:hAnsi="宋体"/>
          <w:b/>
          <w:bCs/>
          <w:sz w:val="24"/>
          <w:szCs w:val="28"/>
          <w:highlight w:val="none"/>
          <w:lang w:val="en-US" w:eastAsia="zh-CN"/>
        </w:rPr>
        <w:t>一、</w:t>
      </w:r>
      <w:r>
        <w:rPr>
          <w:rFonts w:hint="eastAsia" w:ascii="宋体" w:hAnsi="宋体"/>
          <w:b/>
          <w:bCs/>
          <w:sz w:val="24"/>
          <w:szCs w:val="28"/>
          <w:highlight w:val="none"/>
        </w:rPr>
        <w:t>采购需求前附表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250"/>
        <w:gridCol w:w="5787"/>
      </w:tblGrid>
      <w:tr w14:paraId="71AC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1" w:type="dxa"/>
            <w:noWrap w:val="0"/>
            <w:vAlign w:val="center"/>
          </w:tcPr>
          <w:p w14:paraId="57BDAE44">
            <w:pPr>
              <w:pStyle w:val="5"/>
              <w:jc w:val="center"/>
              <w:rPr>
                <w:rFonts w:hint="eastAsia"/>
                <w:b/>
                <w:bCs/>
                <w:sz w:val="24"/>
                <w:highlight w:val="none"/>
              </w:rPr>
            </w:pPr>
            <w:r>
              <w:rPr>
                <w:rFonts w:hint="eastAsia"/>
                <w:b/>
                <w:bCs/>
                <w:sz w:val="24"/>
                <w:highlight w:val="none"/>
              </w:rPr>
              <w:t>序号</w:t>
            </w:r>
          </w:p>
        </w:tc>
        <w:tc>
          <w:tcPr>
            <w:tcW w:w="2250" w:type="dxa"/>
            <w:noWrap w:val="0"/>
            <w:vAlign w:val="center"/>
          </w:tcPr>
          <w:p w14:paraId="16089A7A">
            <w:pPr>
              <w:pStyle w:val="5"/>
              <w:jc w:val="center"/>
              <w:rPr>
                <w:rFonts w:hint="eastAsia"/>
                <w:b/>
                <w:bCs/>
                <w:sz w:val="24"/>
                <w:highlight w:val="none"/>
              </w:rPr>
            </w:pPr>
            <w:r>
              <w:rPr>
                <w:rFonts w:hint="eastAsia"/>
                <w:b/>
                <w:bCs/>
                <w:sz w:val="24"/>
                <w:highlight w:val="none"/>
              </w:rPr>
              <w:t>条款名称</w:t>
            </w:r>
          </w:p>
        </w:tc>
        <w:tc>
          <w:tcPr>
            <w:tcW w:w="5787" w:type="dxa"/>
            <w:noWrap w:val="0"/>
            <w:vAlign w:val="center"/>
          </w:tcPr>
          <w:p w14:paraId="31F94155">
            <w:pPr>
              <w:pStyle w:val="5"/>
              <w:jc w:val="center"/>
              <w:rPr>
                <w:rFonts w:hint="eastAsia"/>
                <w:b/>
                <w:bCs/>
                <w:sz w:val="24"/>
                <w:highlight w:val="none"/>
              </w:rPr>
            </w:pPr>
            <w:r>
              <w:rPr>
                <w:rFonts w:hint="eastAsia"/>
                <w:b/>
                <w:bCs/>
                <w:sz w:val="24"/>
                <w:highlight w:val="none"/>
              </w:rPr>
              <w:t>内容、说明与要求</w:t>
            </w:r>
          </w:p>
        </w:tc>
      </w:tr>
      <w:tr w14:paraId="797C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41" w:type="dxa"/>
            <w:noWrap w:val="0"/>
            <w:vAlign w:val="center"/>
          </w:tcPr>
          <w:p w14:paraId="0C392C1F">
            <w:pPr>
              <w:pStyle w:val="5"/>
              <w:jc w:val="center"/>
              <w:rPr>
                <w:rFonts w:hint="eastAsia"/>
                <w:sz w:val="24"/>
                <w:highlight w:val="none"/>
              </w:rPr>
            </w:pPr>
            <w:r>
              <w:rPr>
                <w:rFonts w:hint="eastAsia"/>
                <w:sz w:val="24"/>
                <w:highlight w:val="none"/>
              </w:rPr>
              <w:t>1</w:t>
            </w:r>
          </w:p>
        </w:tc>
        <w:tc>
          <w:tcPr>
            <w:tcW w:w="2250" w:type="dxa"/>
            <w:noWrap w:val="0"/>
            <w:vAlign w:val="center"/>
          </w:tcPr>
          <w:p w14:paraId="0B115DB0">
            <w:pPr>
              <w:pStyle w:val="5"/>
              <w:jc w:val="center"/>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付款方式</w:t>
            </w:r>
          </w:p>
        </w:tc>
        <w:tc>
          <w:tcPr>
            <w:tcW w:w="5787" w:type="dxa"/>
            <w:noWrap w:val="0"/>
            <w:vAlign w:val="center"/>
          </w:tcPr>
          <w:p w14:paraId="6B5C4C5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活动结束验收完成后，一次性支付合同款</w:t>
            </w:r>
            <w:r>
              <w:rPr>
                <w:rFonts w:hint="eastAsia" w:ascii="Times New Roman" w:hAnsi="Times New Roman" w:eastAsia="宋体" w:cs="Times New Roman"/>
                <w:sz w:val="24"/>
                <w:highlight w:val="none"/>
              </w:rPr>
              <w:t>。</w:t>
            </w:r>
          </w:p>
        </w:tc>
      </w:tr>
      <w:tr w14:paraId="3CDA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1" w:type="dxa"/>
            <w:noWrap w:val="0"/>
            <w:vAlign w:val="center"/>
          </w:tcPr>
          <w:p w14:paraId="10C26E7C">
            <w:pPr>
              <w:pStyle w:val="5"/>
              <w:jc w:val="center"/>
              <w:rPr>
                <w:rFonts w:hint="eastAsia"/>
                <w:sz w:val="24"/>
                <w:highlight w:val="none"/>
              </w:rPr>
            </w:pPr>
            <w:r>
              <w:rPr>
                <w:rFonts w:hint="eastAsia"/>
                <w:sz w:val="24"/>
                <w:highlight w:val="none"/>
              </w:rPr>
              <w:t>2</w:t>
            </w:r>
          </w:p>
        </w:tc>
        <w:tc>
          <w:tcPr>
            <w:tcW w:w="2250" w:type="dxa"/>
            <w:noWrap w:val="0"/>
            <w:vAlign w:val="center"/>
          </w:tcPr>
          <w:p w14:paraId="5F511C67">
            <w:pPr>
              <w:pStyle w:val="5"/>
              <w:jc w:val="center"/>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服务地点</w:t>
            </w:r>
          </w:p>
        </w:tc>
        <w:tc>
          <w:tcPr>
            <w:tcW w:w="5787" w:type="dxa"/>
            <w:noWrap w:val="0"/>
            <w:vAlign w:val="center"/>
          </w:tcPr>
          <w:p w14:paraId="049370E2">
            <w:pPr>
              <w:pStyle w:val="5"/>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合肥工业大学屯溪路校区，</w:t>
            </w:r>
            <w:r>
              <w:rPr>
                <w:rFonts w:hint="eastAsia" w:ascii="Times New Roman" w:hAnsi="Times New Roman" w:eastAsia="宋体" w:cs="Times New Roman"/>
                <w:sz w:val="24"/>
                <w:highlight w:val="none"/>
              </w:rPr>
              <w:t>合肥工业大学</w:t>
            </w:r>
            <w:r>
              <w:rPr>
                <w:rFonts w:hint="eastAsia" w:ascii="Times New Roman" w:hAnsi="Times New Roman" w:eastAsia="宋体" w:cs="Times New Roman"/>
                <w:sz w:val="24"/>
                <w:highlight w:val="none"/>
                <w:lang w:val="en-US" w:eastAsia="zh-CN"/>
              </w:rPr>
              <w:t>指定地点</w:t>
            </w:r>
          </w:p>
        </w:tc>
      </w:tr>
      <w:tr w14:paraId="4B79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4A88E345">
            <w:pPr>
              <w:pStyle w:val="5"/>
              <w:jc w:val="center"/>
              <w:rPr>
                <w:rFonts w:hint="eastAsia"/>
                <w:sz w:val="24"/>
                <w:highlight w:val="none"/>
              </w:rPr>
            </w:pPr>
            <w:r>
              <w:rPr>
                <w:rFonts w:hint="eastAsia"/>
                <w:sz w:val="24"/>
                <w:highlight w:val="none"/>
              </w:rPr>
              <w:t>3</w:t>
            </w:r>
          </w:p>
        </w:tc>
        <w:tc>
          <w:tcPr>
            <w:tcW w:w="2250" w:type="dxa"/>
            <w:noWrap w:val="0"/>
            <w:vAlign w:val="center"/>
          </w:tcPr>
          <w:p w14:paraId="490E4ACB">
            <w:pPr>
              <w:pStyle w:val="5"/>
              <w:jc w:val="center"/>
              <w:rPr>
                <w:rFonts w:hint="eastAsia"/>
                <w:sz w:val="24"/>
                <w:highlight w:val="none"/>
              </w:rPr>
            </w:pPr>
            <w:r>
              <w:rPr>
                <w:rFonts w:hint="eastAsia"/>
                <w:sz w:val="24"/>
                <w:highlight w:val="none"/>
              </w:rPr>
              <w:t>服务周期</w:t>
            </w:r>
          </w:p>
        </w:tc>
        <w:tc>
          <w:tcPr>
            <w:tcW w:w="5787" w:type="dxa"/>
            <w:noWrap w:val="0"/>
            <w:vAlign w:val="center"/>
          </w:tcPr>
          <w:p w14:paraId="6D150585">
            <w:pPr>
              <w:pStyle w:val="5"/>
              <w:spacing w:line="360" w:lineRule="auto"/>
              <w:jc w:val="left"/>
              <w:rPr>
                <w:rFonts w:hint="eastAsia" w:eastAsia="宋体"/>
                <w:sz w:val="24"/>
                <w:highlight w:val="none"/>
                <w:lang w:eastAsia="zh-CN"/>
              </w:rPr>
            </w:pPr>
            <w:r>
              <w:rPr>
                <w:rFonts w:hint="eastAsia" w:eastAsia="宋体"/>
                <w:sz w:val="24"/>
                <w:highlight w:val="none"/>
                <w:lang w:eastAsia="zh-CN"/>
              </w:rPr>
              <w:t>自</w:t>
            </w:r>
            <w:r>
              <w:rPr>
                <w:rFonts w:hint="eastAsia" w:eastAsia="宋体"/>
                <w:sz w:val="24"/>
                <w:highlight w:val="none"/>
                <w:lang w:val="en-US" w:eastAsia="zh-CN"/>
              </w:rPr>
              <w:t>成交之日</w:t>
            </w:r>
            <w:r>
              <w:rPr>
                <w:rFonts w:hint="eastAsia" w:eastAsia="宋体"/>
                <w:sz w:val="24"/>
                <w:highlight w:val="none"/>
                <w:lang w:eastAsia="zh-CN"/>
              </w:rPr>
              <w:t>起至活动结束</w:t>
            </w:r>
          </w:p>
        </w:tc>
      </w:tr>
      <w:tr w14:paraId="2C84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noWrap w:val="0"/>
            <w:vAlign w:val="center"/>
          </w:tcPr>
          <w:p w14:paraId="4FAAB65C">
            <w:pPr>
              <w:pStyle w:val="5"/>
              <w:jc w:val="center"/>
              <w:rPr>
                <w:sz w:val="24"/>
                <w:highlight w:val="none"/>
              </w:rPr>
            </w:pPr>
            <w:r>
              <w:rPr>
                <w:rFonts w:hint="eastAsia"/>
                <w:sz w:val="24"/>
                <w:highlight w:val="none"/>
              </w:rPr>
              <w:t>4</w:t>
            </w:r>
          </w:p>
        </w:tc>
        <w:tc>
          <w:tcPr>
            <w:tcW w:w="2250" w:type="dxa"/>
            <w:noWrap w:val="0"/>
            <w:vAlign w:val="center"/>
          </w:tcPr>
          <w:p w14:paraId="226BD036">
            <w:pPr>
              <w:pStyle w:val="5"/>
              <w:jc w:val="center"/>
              <w:rPr>
                <w:sz w:val="24"/>
                <w:highlight w:val="none"/>
              </w:rPr>
            </w:pPr>
            <w:r>
              <w:rPr>
                <w:rFonts w:hint="eastAsia"/>
                <w:sz w:val="24"/>
                <w:highlight w:val="none"/>
              </w:rPr>
              <w:t>所属行业</w:t>
            </w:r>
          </w:p>
        </w:tc>
        <w:tc>
          <w:tcPr>
            <w:tcW w:w="5787" w:type="dxa"/>
            <w:noWrap w:val="0"/>
            <w:vAlign w:val="center"/>
          </w:tcPr>
          <w:p w14:paraId="67372FBB">
            <w:pPr>
              <w:pStyle w:val="5"/>
              <w:jc w:val="left"/>
              <w:rPr>
                <w:sz w:val="24"/>
                <w:highlight w:val="none"/>
              </w:rPr>
            </w:pPr>
            <w:r>
              <w:rPr>
                <w:rFonts w:hint="eastAsia"/>
                <w:sz w:val="24"/>
                <w:highlight w:val="none"/>
              </w:rPr>
              <w:t>其他未列明行业</w:t>
            </w:r>
          </w:p>
        </w:tc>
      </w:tr>
    </w:tbl>
    <w:p w14:paraId="72A31342">
      <w:pPr>
        <w:pStyle w:val="5"/>
        <w:rPr>
          <w:rFonts w:hint="eastAsia" w:ascii="宋体" w:hAnsi="宋体"/>
          <w:sz w:val="24"/>
          <w:highlight w:val="none"/>
        </w:rPr>
      </w:pPr>
    </w:p>
    <w:p w14:paraId="3613FD2D">
      <w:pPr>
        <w:pStyle w:val="5"/>
        <w:numPr>
          <w:ilvl w:val="0"/>
          <w:numId w:val="0"/>
        </w:numPr>
        <w:spacing w:line="360" w:lineRule="auto"/>
        <w:ind w:firstLine="241" w:firstLineChars="100"/>
        <w:rPr>
          <w:rFonts w:hint="eastAsia" w:ascii="宋体" w:hAnsi="宋体" w:eastAsia="宋体" w:cs="宋体"/>
          <w:b/>
          <w:bCs/>
          <w:sz w:val="24"/>
          <w:highlight w:val="none"/>
          <w:lang w:val="en-US" w:eastAsia="zh-CN"/>
        </w:rPr>
      </w:pPr>
      <w:r>
        <w:rPr>
          <w:rFonts w:hint="eastAsia" w:ascii="宋体" w:hAnsi="宋体"/>
          <w:b/>
          <w:bCs/>
          <w:kern w:val="2"/>
          <w:sz w:val="24"/>
          <w:szCs w:val="24"/>
          <w:highlight w:val="none"/>
          <w:lang w:val="en-US" w:eastAsia="zh-CN" w:bidi="ar-SA"/>
        </w:rPr>
        <w:t>二、</w:t>
      </w:r>
      <w:r>
        <w:rPr>
          <w:rFonts w:hint="eastAsia" w:ascii="宋体" w:hAnsi="宋体" w:eastAsia="宋体" w:cs="宋体"/>
          <w:b/>
          <w:bCs/>
          <w:sz w:val="24"/>
          <w:highlight w:val="none"/>
          <w:lang w:val="en-US" w:eastAsia="zh-CN"/>
        </w:rPr>
        <w:t>服务内容</w:t>
      </w:r>
    </w:p>
    <w:p w14:paraId="4E3E4A60">
      <w:pPr>
        <w:autoSpaceDE w:val="0"/>
        <w:autoSpaceDN w:val="0"/>
        <w:adjustRightInd w:val="0"/>
        <w:spacing w:line="360" w:lineRule="auto"/>
        <w:ind w:firstLine="480" w:firstLineChars="200"/>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1、服务范围：根据合肥工业大学建校80周年庆祝大会活动方案，制定项目整体服务方案，包括但不限于活动主要视觉设计、延展设计、舞台舞美方案、安全应急预案等内容。</w:t>
      </w:r>
    </w:p>
    <w:p w14:paraId="653E4B1A">
      <w:pPr>
        <w:autoSpaceDE w:val="0"/>
        <w:autoSpaceDN w:val="0"/>
        <w:adjustRightInd w:val="0"/>
        <w:spacing w:line="360" w:lineRule="auto"/>
        <w:ind w:firstLine="480" w:firstLineChars="200"/>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2、服务要求：按照服务要求时间安排做好活动筹备及执行工作。活动现场视觉现场执行等所需物料设计需满足要求，经审定后方可制作。</w:t>
      </w:r>
    </w:p>
    <w:p w14:paraId="6F5D3698">
      <w:pPr>
        <w:autoSpaceDE w:val="0"/>
        <w:autoSpaceDN w:val="0"/>
        <w:adjustRightInd w:val="0"/>
        <w:spacing w:line="360" w:lineRule="auto"/>
        <w:ind w:firstLine="480" w:firstLineChars="200"/>
        <w:rPr>
          <w:rFonts w:hint="eastAsia" w:ascii="宋体" w:hAnsi="宋体" w:eastAsia="宋体" w:cs="Times New Roman"/>
          <w:b w:val="0"/>
          <w:bCs w:val="0"/>
          <w:sz w:val="24"/>
          <w:szCs w:val="28"/>
          <w:highlight w:val="none"/>
          <w:lang w:val="en-US" w:eastAsia="zh-CN"/>
        </w:rPr>
      </w:pPr>
      <w:r>
        <w:rPr>
          <w:rFonts w:hint="eastAsia" w:ascii="宋体" w:hAnsi="宋体" w:eastAsia="宋体" w:cs="Times New Roman"/>
          <w:sz w:val="24"/>
          <w:szCs w:val="28"/>
          <w:highlight w:val="none"/>
          <w:lang w:val="en-US" w:eastAsia="zh-CN"/>
        </w:rPr>
        <w:t>3、服</w:t>
      </w:r>
      <w:r>
        <w:rPr>
          <w:rFonts w:hint="eastAsia" w:ascii="宋体" w:hAnsi="宋体" w:eastAsia="宋体" w:cs="Times New Roman"/>
          <w:b w:val="0"/>
          <w:bCs w:val="0"/>
          <w:sz w:val="24"/>
          <w:szCs w:val="28"/>
          <w:highlight w:val="none"/>
          <w:lang w:val="en-US" w:eastAsia="zh-CN"/>
        </w:rPr>
        <w:t>务内容：合肥工业大学建校80周年庆祝大会活动相关内容，包括但不限于场地布置、设计策划、物料制作、印刷制作、技术支持、活动服务、接待保障等。（后附实施方案）</w:t>
      </w:r>
    </w:p>
    <w:p w14:paraId="42886A9D">
      <w:pPr>
        <w:autoSpaceDE w:val="0"/>
        <w:autoSpaceDN w:val="0"/>
        <w:adjustRightInd w:val="0"/>
        <w:spacing w:line="360" w:lineRule="auto"/>
        <w:ind w:firstLine="480" w:firstLineChars="200"/>
        <w:rPr>
          <w:rFonts w:hint="eastAsia" w:ascii="宋体" w:hAnsi="宋体" w:eastAsia="宋体" w:cs="Times New Roman"/>
          <w:b w:val="0"/>
          <w:bCs w:val="0"/>
          <w:sz w:val="24"/>
          <w:szCs w:val="28"/>
          <w:highlight w:val="none"/>
          <w:lang w:val="en-US" w:eastAsia="zh-CN"/>
        </w:rPr>
      </w:pPr>
      <w:r>
        <w:rPr>
          <w:rFonts w:hint="eastAsia" w:ascii="宋体" w:hAnsi="宋体" w:eastAsia="宋体" w:cs="Times New Roman"/>
          <w:b w:val="0"/>
          <w:bCs w:val="0"/>
          <w:sz w:val="24"/>
          <w:szCs w:val="28"/>
          <w:highlight w:val="none"/>
          <w:lang w:val="en-US" w:eastAsia="zh-CN"/>
        </w:rPr>
        <w:t>4、服务团队：需涵盖会展服务、文案策划类等专业人员，项目负责人及团队成员具备会展职业经理人、会展策划师相应资质。</w:t>
      </w:r>
    </w:p>
    <w:p w14:paraId="5B3D637B">
      <w:pPr>
        <w:pStyle w:val="5"/>
        <w:numPr>
          <w:ilvl w:val="0"/>
          <w:numId w:val="0"/>
        </w:numPr>
        <w:spacing w:line="360" w:lineRule="auto"/>
        <w:ind w:firstLine="241" w:firstLineChars="100"/>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三、服务要求</w:t>
      </w:r>
    </w:p>
    <w:p w14:paraId="25AC1C9F">
      <w:pPr>
        <w:autoSpaceDE w:val="0"/>
        <w:autoSpaceDN w:val="0"/>
        <w:adjustRightInd w:val="0"/>
        <w:spacing w:line="360" w:lineRule="auto"/>
        <w:ind w:firstLine="480" w:firstLineChars="200"/>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1、必须严格按合同及招标文件的约定执行甲方委托的各项内容和活动的执行工作。</w:t>
      </w:r>
    </w:p>
    <w:p w14:paraId="4BBEE481">
      <w:pPr>
        <w:autoSpaceDE w:val="0"/>
        <w:autoSpaceDN w:val="0"/>
        <w:adjustRightInd w:val="0"/>
        <w:spacing w:line="360" w:lineRule="auto"/>
        <w:ind w:firstLine="480" w:firstLineChars="200"/>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 xml:space="preserve">2、及时将服务项目的进行情况以及在项目进行中遇到的问题如实向甲方报告。 </w:t>
      </w:r>
    </w:p>
    <w:p w14:paraId="2CC2353A">
      <w:pPr>
        <w:pStyle w:val="4"/>
        <w:pageBreakBefore w:val="0"/>
        <w:widowControl w:val="0"/>
        <w:numPr>
          <w:ilvl w:val="2"/>
          <w:numId w:val="0"/>
        </w:numPr>
        <w:kinsoku/>
        <w:wordWrap/>
        <w:overflowPunct/>
        <w:topLinePunct w:val="0"/>
        <w:autoSpaceDE/>
        <w:autoSpaceDN/>
        <w:bidi w:val="0"/>
        <w:adjustRightInd/>
        <w:snapToGrid/>
        <w:spacing w:before="0" w:after="0" w:line="360" w:lineRule="auto"/>
        <w:ind w:left="221"/>
        <w:textAlignment w:val="auto"/>
        <w:rPr>
          <w:rFonts w:cs="宋体"/>
          <w:sz w:val="24"/>
          <w:szCs w:val="24"/>
        </w:rPr>
      </w:pPr>
      <w:r>
        <w:rPr>
          <w:rFonts w:hint="eastAsia" w:cs="宋体"/>
          <w:sz w:val="24"/>
          <w:szCs w:val="24"/>
          <w:lang w:val="en-US" w:eastAsia="zh-CN"/>
        </w:rPr>
        <w:t>四、</w:t>
      </w:r>
      <w:r>
        <w:rPr>
          <w:rFonts w:cs="宋体"/>
          <w:sz w:val="24"/>
          <w:szCs w:val="24"/>
        </w:rPr>
        <w:t>报价要求</w:t>
      </w:r>
    </w:p>
    <w:p w14:paraId="618B8A2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本项目按总价报价，</w:t>
      </w:r>
      <w:r>
        <w:rPr>
          <w:rFonts w:hint="eastAsia" w:ascii="宋体" w:hAnsi="宋体" w:eastAsia="宋体" w:cs="宋体"/>
          <w:sz w:val="24"/>
          <w:szCs w:val="24"/>
        </w:rPr>
        <w:t>报价不得超过</w:t>
      </w:r>
      <w:r>
        <w:rPr>
          <w:rFonts w:hint="eastAsia" w:ascii="宋体" w:hAnsi="宋体" w:eastAsia="宋体" w:cs="宋体"/>
          <w:sz w:val="24"/>
          <w:szCs w:val="24"/>
          <w:lang w:val="en-US" w:eastAsia="zh-CN"/>
        </w:rPr>
        <w:t>最高限价</w:t>
      </w:r>
      <w:r>
        <w:rPr>
          <w:rFonts w:hint="eastAsia" w:ascii="宋体" w:hAnsi="宋体" w:eastAsia="宋体" w:cs="宋体"/>
          <w:sz w:val="24"/>
          <w:szCs w:val="24"/>
        </w:rPr>
        <w:t>，否则响应无效。</w:t>
      </w:r>
      <w:r>
        <w:rPr>
          <w:rFonts w:hint="eastAsia" w:ascii="宋体" w:hAnsi="宋体" w:eastAsia="宋体" w:cs="宋体"/>
          <w:sz w:val="24"/>
        </w:rPr>
        <w:t>其报价应包含为完成本项目所需的</w:t>
      </w:r>
      <w:r>
        <w:rPr>
          <w:rFonts w:hint="eastAsia" w:ascii="宋体" w:hAnsi="宋体" w:eastAsia="宋体" w:cs="宋体"/>
          <w:sz w:val="24"/>
          <w:lang w:val="en-US" w:eastAsia="zh-CN"/>
        </w:rPr>
        <w:t>设备</w:t>
      </w:r>
      <w:r>
        <w:rPr>
          <w:rFonts w:hint="eastAsia" w:ascii="宋体" w:hAnsi="宋体" w:eastAsia="宋体" w:cs="宋体"/>
          <w:sz w:val="24"/>
        </w:rPr>
        <w:t>费、运输费、</w:t>
      </w:r>
      <w:r>
        <w:rPr>
          <w:rFonts w:hint="eastAsia" w:ascii="宋体" w:hAnsi="宋体" w:eastAsia="宋体" w:cs="宋体"/>
          <w:sz w:val="24"/>
          <w:lang w:val="en-US" w:eastAsia="zh-CN"/>
        </w:rPr>
        <w:t>人工</w:t>
      </w:r>
      <w:r>
        <w:rPr>
          <w:rFonts w:hint="eastAsia" w:ascii="宋体" w:hAnsi="宋体" w:eastAsia="宋体" w:cs="宋体"/>
          <w:sz w:val="24"/>
        </w:rPr>
        <w:t>费、</w:t>
      </w:r>
      <w:r>
        <w:rPr>
          <w:rFonts w:hint="eastAsia" w:ascii="宋体" w:hAnsi="宋体" w:eastAsia="宋体" w:cs="宋体"/>
          <w:sz w:val="24"/>
          <w:highlight w:val="none"/>
          <w:lang w:val="en-US" w:eastAsia="zh-CN"/>
        </w:rPr>
        <w:t>软件使用费、</w:t>
      </w:r>
      <w:r>
        <w:rPr>
          <w:rFonts w:hint="eastAsia" w:ascii="宋体" w:hAnsi="宋体" w:eastAsia="宋体" w:cs="宋体"/>
          <w:sz w:val="24"/>
        </w:rPr>
        <w:t>保险费、税费等可能发生的一切相关费用。一旦</w:t>
      </w:r>
      <w:r>
        <w:rPr>
          <w:rFonts w:hint="eastAsia" w:ascii="宋体" w:hAnsi="宋体" w:eastAsia="宋体" w:cs="宋体"/>
          <w:sz w:val="24"/>
          <w:lang w:val="en-US" w:eastAsia="zh-CN"/>
        </w:rPr>
        <w:t>成交</w:t>
      </w:r>
      <w:r>
        <w:rPr>
          <w:rFonts w:hint="eastAsia" w:ascii="宋体" w:hAnsi="宋体" w:eastAsia="宋体" w:cs="宋体"/>
          <w:sz w:val="24"/>
        </w:rPr>
        <w:t>，其</w:t>
      </w:r>
      <w:r>
        <w:rPr>
          <w:rFonts w:hint="eastAsia" w:ascii="宋体" w:hAnsi="宋体" w:eastAsia="宋体" w:cs="宋体"/>
          <w:sz w:val="24"/>
          <w:lang w:val="en-US" w:eastAsia="zh-CN"/>
        </w:rPr>
        <w:t>成交</w:t>
      </w:r>
      <w:r>
        <w:rPr>
          <w:rFonts w:hint="eastAsia" w:ascii="宋体" w:hAnsi="宋体" w:eastAsia="宋体" w:cs="宋体"/>
          <w:sz w:val="24"/>
        </w:rPr>
        <w:t>价不作任何调整。</w:t>
      </w:r>
    </w:p>
    <w:p w14:paraId="30742B4D">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2、合同签订金额、履约保证金计算基数、代理服务费计算基数均以方案一的报价执行。</w:t>
      </w:r>
    </w:p>
    <w:p w14:paraId="7D65E596">
      <w:pPr>
        <w:spacing w:line="560" w:lineRule="exact"/>
        <w:jc w:val="both"/>
        <w:rPr>
          <w:rFonts w:hint="eastAsia" w:ascii="宋体" w:hAnsi="宋体" w:eastAsia="宋体" w:cs="宋体"/>
          <w:b/>
          <w:bCs/>
          <w:sz w:val="24"/>
          <w:szCs w:val="24"/>
        </w:rPr>
      </w:pPr>
    </w:p>
    <w:p w14:paraId="2F4A0AA1">
      <w:pPr>
        <w:spacing w:line="560" w:lineRule="exact"/>
        <w:jc w:val="center"/>
        <w:rPr>
          <w:rFonts w:hint="eastAsia" w:ascii="宋体" w:hAnsi="宋体" w:eastAsia="宋体" w:cs="宋体"/>
          <w:b/>
          <w:bCs/>
          <w:sz w:val="24"/>
          <w:szCs w:val="24"/>
        </w:rPr>
      </w:pPr>
    </w:p>
    <w:p w14:paraId="6F35D8A1">
      <w:pPr>
        <w:spacing w:line="560" w:lineRule="exact"/>
        <w:jc w:val="center"/>
        <w:rPr>
          <w:rFonts w:hint="eastAsia" w:ascii="宋体" w:hAnsi="宋体" w:eastAsia="宋体" w:cs="宋体"/>
          <w:b/>
          <w:bCs/>
          <w:sz w:val="24"/>
          <w:szCs w:val="24"/>
        </w:rPr>
      </w:pPr>
    </w:p>
    <w:p w14:paraId="0BE8701B">
      <w:pPr>
        <w:spacing w:line="560" w:lineRule="exact"/>
        <w:jc w:val="center"/>
        <w:rPr>
          <w:rFonts w:hint="eastAsia" w:ascii="宋体" w:hAnsi="宋体" w:eastAsia="宋体" w:cs="宋体"/>
          <w:b/>
          <w:bCs/>
          <w:sz w:val="24"/>
          <w:szCs w:val="24"/>
        </w:rPr>
      </w:pPr>
    </w:p>
    <w:p w14:paraId="2F614627">
      <w:pPr>
        <w:spacing w:line="5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合肥工业大学建校80周年庆祝大会</w:t>
      </w:r>
      <w:r>
        <w:rPr>
          <w:rFonts w:hint="eastAsia" w:ascii="宋体" w:hAnsi="宋体" w:eastAsia="宋体" w:cs="宋体"/>
          <w:b/>
          <w:bCs/>
          <w:sz w:val="24"/>
          <w:szCs w:val="24"/>
        </w:rPr>
        <w:t>实施方案</w:t>
      </w:r>
    </w:p>
    <w:p w14:paraId="6DC3BB57">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一、活动概况</w:t>
      </w:r>
    </w:p>
    <w:p w14:paraId="224FC10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名称：合肥工业大学建校80周年庆祝大会</w:t>
      </w:r>
    </w:p>
    <w:p w14:paraId="7572C17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时间：2025年10月7日7:30-10:00</w:t>
      </w:r>
    </w:p>
    <w:p w14:paraId="0958E79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地点：合肥工业大学屯溪路校区西田径场/斛兵礼堂</w:t>
      </w:r>
    </w:p>
    <w:p w14:paraId="6264203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活动安排</w:t>
      </w:r>
    </w:p>
    <w:p w14:paraId="26B21F68">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第一阶段：暖场环节</w:t>
      </w:r>
      <w:r>
        <w:rPr>
          <w:rFonts w:hint="eastAsia" w:ascii="宋体" w:hAnsi="宋体" w:eastAsia="宋体" w:cs="宋体"/>
          <w:b/>
          <w:bCs/>
          <w:sz w:val="24"/>
          <w:szCs w:val="24"/>
          <w:lang w:val="en-US" w:eastAsia="zh-CN"/>
        </w:rPr>
        <w:t>（7:30-8:30）</w:t>
      </w:r>
    </w:p>
    <w:p w14:paraId="6EBB331B">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7:30-8:25  循环播放合肥工业大学宣传片</w:t>
      </w:r>
    </w:p>
    <w:p w14:paraId="75201D54">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8:20-8:25  师生代表、校友代表歌曲接力祝福母校</w:t>
      </w:r>
    </w:p>
    <w:p w14:paraId="4639D57D">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8:25-8:30  校旗、校友会会旗接力跑</w:t>
      </w:r>
    </w:p>
    <w:p w14:paraId="464B8282">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第二阶段：纪念大会</w:t>
      </w:r>
      <w:r>
        <w:rPr>
          <w:rFonts w:hint="eastAsia" w:ascii="宋体" w:hAnsi="宋体" w:eastAsia="宋体" w:cs="宋体"/>
          <w:b/>
          <w:bCs/>
          <w:sz w:val="24"/>
          <w:szCs w:val="24"/>
          <w:lang w:val="en-US" w:eastAsia="zh-CN"/>
        </w:rPr>
        <w:t>（8:30-10:00）</w:t>
      </w:r>
    </w:p>
    <w:p w14:paraId="0A8BB3D1">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1.奏唱中华人民共和国国歌…………………………………………………………………3分钟</w:t>
      </w:r>
    </w:p>
    <w:p w14:paraId="30AB24E9">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2.校领导致辞…………………………………………………………………………………15分钟</w:t>
      </w:r>
    </w:p>
    <w:p w14:paraId="70B1DB73">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3.教育部领导致辞……………………………………………………………………………10分钟</w:t>
      </w:r>
    </w:p>
    <w:p w14:paraId="75B14584">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4.安徽省领导致辞……………………………………………………………………………10分钟</w:t>
      </w:r>
    </w:p>
    <w:p w14:paraId="564721A4">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5.合肥市领导致辞……………………………………………………………………………10分钟</w:t>
      </w:r>
    </w:p>
    <w:p w14:paraId="2A53C670">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6.交叉学院揭牌仪式…………………………………………………………………………3分钟</w:t>
      </w:r>
    </w:p>
    <w:p w14:paraId="432600DC">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7.兄弟院校代表致辞…………………………………………………………………………8分钟</w:t>
      </w:r>
    </w:p>
    <w:p w14:paraId="007275CA">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8.校友代表发言………………………………………………………………………………8分钟</w:t>
      </w:r>
    </w:p>
    <w:p w14:paraId="7E17650D">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9.校友企业家联谊会揭牌仪式………………………………………………………………2分钟</w:t>
      </w:r>
    </w:p>
    <w:p w14:paraId="58D48E21">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10.皖美投资行签约仪式…………………………………………………………………… 5分钟</w:t>
      </w:r>
    </w:p>
    <w:p w14:paraId="70174FD1">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11.教师代表发言………………………………………………………………………………6分钟</w:t>
      </w:r>
    </w:p>
    <w:p w14:paraId="4141EC77">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12.学生代表发言………………………………………………………………………………6分钟</w:t>
      </w:r>
    </w:p>
    <w:p w14:paraId="3E5AB0A1">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13.校友捐赠剪辑视频…………………………………………………………………………2分钟</w:t>
      </w:r>
    </w:p>
    <w:p w14:paraId="355C54D0">
      <w:pPr>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14.齐唱校歌……………………………………………………………………………………3分钟</w:t>
      </w:r>
    </w:p>
    <w:p w14:paraId="2785F907">
      <w:pPr>
        <w:pageBreakBefore w:val="0"/>
        <w:widowControl w:val="0"/>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会务安排</w:t>
      </w:r>
    </w:p>
    <w:p w14:paraId="345C2D2B">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（一）主席台</w:t>
      </w:r>
    </w:p>
    <w:p w14:paraId="1EB5FD77">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方案一（A）：屯溪路校区西田径场（嘉宾坐主席台上）</w:t>
      </w:r>
    </w:p>
    <w:p w14:paraId="6FA8C093">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1.嘉宾桌椅：100套，1.8m*0.6m长条桌，靠背椅+椅套+蝴蝶结</w:t>
      </w:r>
    </w:p>
    <w:p w14:paraId="669DD333">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2.主屏：1个，30m*7m，具体以场地测量为准</w:t>
      </w:r>
    </w:p>
    <w:p w14:paraId="7B3FE0E5">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3.副屏：2个，10m*7m，具体以场地测量为准</w:t>
      </w:r>
    </w:p>
    <w:p w14:paraId="2508954F">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4.斜坡屏：30m*1m，具体以场地测量为准</w:t>
      </w:r>
    </w:p>
    <w:p w14:paraId="1A4D1C4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5.地毯：30m*11m，红色地毯，覆盖主席台</w:t>
      </w:r>
    </w:p>
    <w:p w14:paraId="26E6F6E6">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6.舞台搭建：30m*11m，专用舞台板，具体以场地测量为准</w:t>
      </w:r>
    </w:p>
    <w:p w14:paraId="55E6191A">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7.音响系统：线阵音响，手持麦，台麦，调音台、信号分配器、数字处理器、补声音箱等</w:t>
      </w:r>
    </w:p>
    <w:p w14:paraId="117D4CE8">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8.视频直播：摇臂摄像机位，定点摄像机位，航拍机位，图片直播，后期活动剪辑视频，后期活动照片等</w:t>
      </w:r>
    </w:p>
    <w:p w14:paraId="57154D1B">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9.仪式道具：揭牌仪式、签约仪式道具台</w:t>
      </w:r>
    </w:p>
    <w:p w14:paraId="2954293E">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10.演讲台：1个，全包KT板</w:t>
      </w:r>
    </w:p>
    <w:p w14:paraId="6FE75CD3">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11.会议服务：8人，专业礼仪</w:t>
      </w:r>
    </w:p>
    <w:p w14:paraId="073710D4">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12.专业主持人：1人</w:t>
      </w:r>
    </w:p>
    <w:p w14:paraId="44258CCB">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方案一（B）：屯溪路校区西田径场（嘉宾坐主席台下）</w:t>
      </w:r>
    </w:p>
    <w:p w14:paraId="468A96CB">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1.嘉宾桌椅：80套，1.8m*0.6m长条桌，靠背椅+椅套+蝴蝶结</w:t>
      </w:r>
    </w:p>
    <w:p w14:paraId="38F895C3">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2.贵宾沙发：20套，配茶几</w:t>
      </w:r>
    </w:p>
    <w:p w14:paraId="280BC62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3.主屏：1个，30m*7m，具体以场地测量为准</w:t>
      </w:r>
    </w:p>
    <w:p w14:paraId="6E2542C9">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4.副屏：2个，10m*7m，具体以场地测量为准</w:t>
      </w:r>
    </w:p>
    <w:p w14:paraId="0B5854D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5.斜坡屏：30m*1m，具体以场地测量为准</w:t>
      </w:r>
    </w:p>
    <w:p w14:paraId="787A7D68">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6.地毯：30m*11m，红色地毯，覆盖主席台</w:t>
      </w:r>
    </w:p>
    <w:p w14:paraId="359A0375">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7.舞台搭建：30m*11m，专用舞台板，具体以场地测量为准</w:t>
      </w:r>
    </w:p>
    <w:p w14:paraId="6FFBED5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8.音响系统：线阵音响，手持麦，台麦，调音台、信号分配器、数字处理器、补声音箱等</w:t>
      </w:r>
    </w:p>
    <w:p w14:paraId="252C3B72">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9.视频直播：摇臂摄像机位，定点摄像机位，航拍机位，图片直播，后期活动剪辑视频，后期活动照片等</w:t>
      </w:r>
    </w:p>
    <w:p w14:paraId="2E42782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10.仪式道具：揭牌仪式、签约仪式道具台</w:t>
      </w:r>
    </w:p>
    <w:p w14:paraId="7105306F">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11.演讲台：1个，全包KT板</w:t>
      </w:r>
    </w:p>
    <w:p w14:paraId="139EC63E">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12.会议服务：8人，专业礼仪</w:t>
      </w:r>
    </w:p>
    <w:p w14:paraId="18CCDC3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13.专业主持人：1人</w:t>
      </w:r>
    </w:p>
    <w:p w14:paraId="471EC427">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方案二：屯溪路校区斛兵礼堂</w:t>
      </w:r>
    </w:p>
    <w:p w14:paraId="4FA65A3E">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1.嘉宾桌椅*50套，1.8m*0.6m长条桌，靠背椅+椅套+蝴蝶结</w:t>
      </w:r>
    </w:p>
    <w:p w14:paraId="4DE72A27">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2.主屏：1个，14m*4.5m，具体以场地测量为准</w:t>
      </w:r>
    </w:p>
    <w:p w14:paraId="6B5AFEB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3.地毯：18m*7m，红色地毯，覆盖主席台</w:t>
      </w:r>
    </w:p>
    <w:p w14:paraId="3CCC51B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4.音响系统：线阵音响，手持麦，台麦，调音台、信号分配器、数字处理器、补声音箱等</w:t>
      </w:r>
    </w:p>
    <w:p w14:paraId="61D1E57A">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5.视频直播：摇臂摄像机位，定点摄像机位，图片直播，后期活动剪辑视频，后期活动照片等</w:t>
      </w:r>
    </w:p>
    <w:p w14:paraId="4E8020F5">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6.灯控系统：灯光控制台，视频处理器，信号放大器，灯雾机等</w:t>
      </w:r>
    </w:p>
    <w:p w14:paraId="1AC89C7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7.仪式道具：揭牌仪式、签约仪式道具台</w:t>
      </w:r>
    </w:p>
    <w:p w14:paraId="28C99498">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8.演讲台：1个，全包KT板</w:t>
      </w:r>
    </w:p>
    <w:p w14:paraId="5BC4E31E">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9.会议服务：8人，专业礼仪</w:t>
      </w:r>
    </w:p>
    <w:p w14:paraId="0F15F5BE">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10.专业主持人：1人</w:t>
      </w:r>
    </w:p>
    <w:p w14:paraId="2966A3B1">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（二）观众席</w:t>
      </w:r>
    </w:p>
    <w:p w14:paraId="089B9514">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方案一（A、B）：屯溪路校区西田径场</w:t>
      </w:r>
    </w:p>
    <w:p w14:paraId="6D311B54">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现场分9个区域，每个区域15m（宽）*24m（长），过道3m（宽）；靠背椅*2100张（两种颜色，形成“工大”字），区域水牌*36个，资料袋*3000个，嘉宾证*3000张，会议手册*3000份，座位贴3000个，矿泉水3000瓶</w:t>
      </w:r>
    </w:p>
    <w:p w14:paraId="702F9B09">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左右两边：分别放40面校友分会的会旗，共80面旗子</w:t>
      </w:r>
    </w:p>
    <w:p w14:paraId="6A8C02C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主席台正对面：放22个学院院旗和学校校旗、校友总会会旗，共24面旗子</w:t>
      </w:r>
    </w:p>
    <w:p w14:paraId="7FAF9E36">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caps w:val="0"/>
          <w:kern w:val="2"/>
          <w:sz w:val="24"/>
          <w:szCs w:val="24"/>
          <w:lang w:val="en-US" w:eastAsia="zh-CN" w:bidi="ar-SA"/>
        </w:rPr>
      </w:pPr>
      <w:r>
        <w:rPr>
          <w:rFonts w:hint="eastAsia" w:ascii="宋体" w:hAnsi="宋体" w:eastAsia="宋体" w:cs="宋体"/>
          <w:b/>
          <w:bCs/>
          <w:caps w:val="0"/>
          <w:kern w:val="2"/>
          <w:sz w:val="24"/>
          <w:szCs w:val="24"/>
          <w:lang w:val="en-US" w:eastAsia="zh-CN" w:bidi="ar-SA"/>
        </w:rPr>
        <w:t>方案二：屯溪路校区斛兵礼堂</w:t>
      </w:r>
    </w:p>
    <w:p w14:paraId="3557D3B9">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现场分6个区域，区域水牌*16个，资料袋*1000个，嘉宾证*1000张，会议手册*1000份，座位贴1000个，矿泉水1000瓶</w:t>
      </w:r>
    </w:p>
    <w:p w14:paraId="72F8E9C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左右两边：分别放40面校友分会的会旗，共80面旗子</w:t>
      </w:r>
    </w:p>
    <w:p w14:paraId="1C06127F">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主席台正对面：放22个学院院旗和学校校旗、校友总会会旗，共24面旗子</w:t>
      </w:r>
    </w:p>
    <w:p w14:paraId="7AF5DF26">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左右两边：分别放40面校友分会的会旗，共80面旗子</w:t>
      </w:r>
    </w:p>
    <w:p w14:paraId="56EBB105">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caps w:val="0"/>
          <w:kern w:val="2"/>
          <w:sz w:val="24"/>
          <w:szCs w:val="24"/>
          <w:lang w:val="en-US" w:eastAsia="zh-CN" w:bidi="ar-SA"/>
        </w:rPr>
      </w:pPr>
      <w:r>
        <w:rPr>
          <w:rFonts w:hint="eastAsia" w:ascii="宋体" w:hAnsi="宋体" w:eastAsia="宋体" w:cs="宋体"/>
          <w:caps w:val="0"/>
          <w:kern w:val="2"/>
          <w:sz w:val="24"/>
          <w:szCs w:val="24"/>
          <w:lang w:val="en-US" w:eastAsia="zh-CN" w:bidi="ar-SA"/>
        </w:rPr>
        <w:t>主席台正对面：放22个学院院旗和学校校旗、校友总会会旗，共24面旗子</w:t>
      </w:r>
    </w:p>
    <w:p w14:paraId="5E905CB6">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（三）会场周边</w:t>
      </w:r>
    </w:p>
    <w:p w14:paraId="5E1B3A25">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方案一（A、B）：屯溪路校区西田径场</w:t>
      </w:r>
    </w:p>
    <w:p w14:paraId="6A40125A">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1.注水旗：80个，5m高，带校庆元素，具体以场地测量为准</w:t>
      </w:r>
    </w:p>
    <w:p w14:paraId="21A1366D">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2.导视牌：20个，指引参会嘉宾从各校门到会场，具体以实际需求为准</w:t>
      </w:r>
    </w:p>
    <w:p w14:paraId="17A4A749">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3.庆典立体字：2个，2m*6m，放在看台两边观礼席，具体以场地测量为准</w:t>
      </w:r>
    </w:p>
    <w:p w14:paraId="5F5C085B">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4.校庆主题喷绘：4个，3m*8m，放在看台、主席台对面、田径场东侧*2，具体以场地测量为准</w:t>
      </w:r>
    </w:p>
    <w:p w14:paraId="0297D466">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bCs/>
          <w:caps w:val="0"/>
          <w:kern w:val="2"/>
          <w:sz w:val="24"/>
          <w:szCs w:val="24"/>
          <w:lang w:val="en-US" w:eastAsia="zh-CN" w:bidi="ar-SA"/>
        </w:rPr>
      </w:pPr>
      <w:r>
        <w:rPr>
          <w:rFonts w:hint="eastAsia" w:ascii="宋体" w:hAnsi="宋体" w:eastAsia="宋体" w:cs="宋体"/>
          <w:b/>
          <w:bCs/>
          <w:caps w:val="0"/>
          <w:kern w:val="2"/>
          <w:sz w:val="24"/>
          <w:szCs w:val="24"/>
          <w:lang w:val="en-US" w:eastAsia="zh-CN" w:bidi="ar-SA"/>
        </w:rPr>
        <w:t>方案二：屯溪路校区斛兵礼堂</w:t>
      </w:r>
    </w:p>
    <w:p w14:paraId="05FDDFD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1.注水旗：80个，5m高，带校庆元素，具体以场地测量为准</w:t>
      </w:r>
    </w:p>
    <w:p w14:paraId="79565DA4">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2.导视牌：20个，指引参会嘉宾从各校门到会场，具体以实际需求为准</w:t>
      </w:r>
    </w:p>
    <w:p w14:paraId="3B6A1393">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3.庆典立体字：2个，2m*6m，放在斛兵礼堂东西两侧，具体以场地测量为准</w:t>
      </w:r>
    </w:p>
    <w:p w14:paraId="3E363A10">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4.校庆主题喷绘：2个，3m*8m，放在斛兵礼堂东西两侧，具体以场地测量为准</w:t>
      </w:r>
    </w:p>
    <w:p w14:paraId="6FE2C702">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方案选择</w:t>
      </w:r>
    </w:p>
    <w:p w14:paraId="6949A297">
      <w:pPr>
        <w:pageBreakBefore w:val="0"/>
        <w:widowControl w:val="0"/>
        <w:tabs>
          <w:tab w:val="center" w:pos="4153"/>
        </w:tabs>
        <w:kinsoku/>
        <w:wordWrap/>
        <w:overflowPunct/>
        <w:topLinePunct w:val="0"/>
        <w:autoSpaceDE/>
        <w:autoSpaceDN/>
        <w:bidi w:val="0"/>
        <w:adjustRightInd/>
        <w:snapToGrid/>
        <w:spacing w:line="520" w:lineRule="exact"/>
        <w:ind w:firstLine="64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方案一为主方案，方案二为备选方案，供应商需分别制定整体服务方案和预算方案。供应商正式入场前，由采购人根据天气情况，确定选择方案一或者方案二，并通知供应商。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8071C"/>
    <w:multiLevelType w:val="singleLevel"/>
    <w:tmpl w:val="59E807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00D37"/>
    <w:rsid w:val="10E0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next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2025-08-21T03:37:00Z</dcterms:created>
  <dc:creator>卫斯理</dc:creator>
  <cp:lastModifiedBy>卫斯理</cp:lastModifiedBy>
  <dcterms:modified xsi:type="dcterms:W3CDTF">2025-08-21T03:38:49Z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27084C54944441DC8A7432D1695F151D_11</vt:lpwstr>
  </property>
  <property fmtid="{D5CDD505-2E9C-101B-9397-08002B2CF9AE}" pid="4" name="KSOTemplateDocerSaveRecord">
    <vt:lpwstr>eyJoZGlkIjoiOTVjYzMyNzY4ODlkZGIxOTc1NjIxMThkYTgzM2YyMjEiLCJ1c2VySWQiOiIyNTM1OTI4ODYifQ==</vt:lpwstr>
  </property>
</Properties>
</file>