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22ED4">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采购需求</w:t>
      </w:r>
    </w:p>
    <w:p w14:paraId="1B97F6D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12038D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0D0E4777">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3"/>
        <w:gridCol w:w="5977"/>
      </w:tblGrid>
      <w:tr w14:paraId="2CEB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1F0440D">
            <w:pPr>
              <w:pStyle w:val="7"/>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213" w:type="dxa"/>
            <w:vAlign w:val="center"/>
          </w:tcPr>
          <w:p w14:paraId="322935E0">
            <w:pPr>
              <w:pStyle w:val="8"/>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977" w:type="dxa"/>
            <w:vAlign w:val="center"/>
          </w:tcPr>
          <w:p w14:paraId="66EA70EF">
            <w:pPr>
              <w:pStyle w:val="8"/>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2DA6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8" w:type="dxa"/>
            <w:vAlign w:val="center"/>
          </w:tcPr>
          <w:p w14:paraId="364CDCD0">
            <w:pPr>
              <w:pStyle w:val="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213" w:type="dxa"/>
            <w:vAlign w:val="center"/>
          </w:tcPr>
          <w:p w14:paraId="66F7DA68">
            <w:pPr>
              <w:pStyle w:val="8"/>
              <w:widowControl w:val="0"/>
              <w:spacing w:before="0" w:beforeAutospacing="0" w:after="0" w:afterAutospacing="0" w:line="360" w:lineRule="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eastAsia="zh-CN"/>
              </w:rPr>
              <w:t>付款方式</w:t>
            </w:r>
          </w:p>
        </w:tc>
        <w:tc>
          <w:tcPr>
            <w:tcW w:w="5977" w:type="dxa"/>
            <w:vAlign w:val="center"/>
          </w:tcPr>
          <w:p w14:paraId="49C79573">
            <w:pPr>
              <w:pStyle w:val="8"/>
              <w:widowControl w:val="0"/>
              <w:spacing w:before="0" w:beforeAutospacing="0" w:after="0" w:afterAutospacing="0" w:line="360" w:lineRule="auto"/>
              <w:jc w:val="left"/>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none"/>
                <w:lang w:val="en-US" w:eastAsia="zh-CN"/>
              </w:rPr>
              <w:t>每月双方结算一次，乙方次月6日前必须到饮食服务中心完成上月货款核对工作,并提供货物验收单,甲方于次月20日前办理结算(遇假期、节期日和不可抗力等因素顺延）。</w:t>
            </w:r>
          </w:p>
        </w:tc>
      </w:tr>
      <w:tr w14:paraId="7F47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8" w:type="dxa"/>
            <w:vAlign w:val="center"/>
          </w:tcPr>
          <w:p w14:paraId="047C81DB">
            <w:pPr>
              <w:pStyle w:val="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213" w:type="dxa"/>
            <w:vAlign w:val="center"/>
          </w:tcPr>
          <w:p w14:paraId="3ED06E8A">
            <w:pPr>
              <w:pStyle w:val="8"/>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5977" w:type="dxa"/>
            <w:vAlign w:val="center"/>
          </w:tcPr>
          <w:p w14:paraId="44C04645">
            <w:pPr>
              <w:pStyle w:val="8"/>
              <w:widowControl w:val="0"/>
              <w:spacing w:before="0" w:beforeAutospacing="0" w:after="0" w:afterAutospacing="0" w:line="360" w:lineRule="auto"/>
              <w:jc w:val="both"/>
              <w:rPr>
                <w:rFonts w:hint="eastAsia" w:ascii="宋体" w:hAnsi="宋体" w:eastAsia="宋体" w:cs="宋体"/>
                <w:b w:val="0"/>
                <w:color w:val="auto"/>
                <w:sz w:val="24"/>
                <w:highlight w:val="none"/>
                <w:u w:val="none"/>
                <w:lang w:eastAsia="zh-CN"/>
              </w:rPr>
            </w:pPr>
            <w:r>
              <w:rPr>
                <w:rFonts w:hint="eastAsia" w:ascii="宋体" w:hAnsi="宋体" w:eastAsia="宋体" w:cs="宋体"/>
                <w:b w:val="0"/>
                <w:color w:val="auto"/>
                <w:sz w:val="24"/>
                <w:highlight w:val="none"/>
                <w:u w:val="none"/>
                <w:lang w:val="en-US" w:eastAsia="zh-CN"/>
              </w:rPr>
              <w:t>合肥市合肥工业大学屯溪路校区、翡翠湖校区各食堂及仓库或指定地点。</w:t>
            </w:r>
          </w:p>
        </w:tc>
      </w:tr>
      <w:tr w14:paraId="4736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91FAD47">
            <w:pPr>
              <w:pStyle w:val="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213" w:type="dxa"/>
            <w:vAlign w:val="center"/>
          </w:tcPr>
          <w:p w14:paraId="7F7535D2">
            <w:pPr>
              <w:pStyle w:val="8"/>
              <w:widowControl w:val="0"/>
              <w:spacing w:before="0" w:beforeAutospacing="0" w:after="0" w:afterAutospacing="0" w:line="360" w:lineRule="auto"/>
              <w:jc w:val="center"/>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服务期限</w:t>
            </w:r>
          </w:p>
        </w:tc>
        <w:tc>
          <w:tcPr>
            <w:tcW w:w="5977" w:type="dxa"/>
            <w:vAlign w:val="center"/>
          </w:tcPr>
          <w:p w14:paraId="56F6D1AF">
            <w:pPr>
              <w:pStyle w:val="8"/>
              <w:widowControl w:val="0"/>
              <w:spacing w:before="0" w:beforeAutospacing="0" w:after="0" w:afterAutospacing="0" w:line="360" w:lineRule="auto"/>
              <w:jc w:val="left"/>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kern w:val="0"/>
                <w:sz w:val="24"/>
                <w:szCs w:val="28"/>
                <w:highlight w:val="none"/>
                <w:lang w:val="en-US" w:eastAsia="zh-CN"/>
              </w:rPr>
              <w:t>服务期为3年，采取1+1+1模式，合同一年一签，考核合格后，且下一年度预算保障的前提下，可续签下一年合同。</w:t>
            </w:r>
          </w:p>
        </w:tc>
      </w:tr>
      <w:tr w14:paraId="33A6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496A0E37">
            <w:pPr>
              <w:pStyle w:val="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213" w:type="dxa"/>
            <w:vAlign w:val="center"/>
          </w:tcPr>
          <w:p w14:paraId="03019436">
            <w:pPr>
              <w:pStyle w:val="8"/>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本项目采购标的所属行业</w:t>
            </w:r>
          </w:p>
        </w:tc>
        <w:tc>
          <w:tcPr>
            <w:tcW w:w="5977" w:type="dxa"/>
            <w:vAlign w:val="center"/>
          </w:tcPr>
          <w:p w14:paraId="482CB74B">
            <w:pPr>
              <w:pStyle w:val="8"/>
              <w:widowControl w:val="0"/>
              <w:spacing w:before="0" w:beforeAutospacing="0" w:after="0" w:afterAutospacing="0" w:line="360" w:lineRule="auto"/>
              <w:jc w:val="both"/>
              <w:rPr>
                <w:rFonts w:hint="default" w:ascii="宋体" w:hAnsi="宋体" w:eastAsia="宋体" w:cs="宋体"/>
                <w:b w:val="0"/>
                <w:color w:val="auto"/>
                <w:sz w:val="24"/>
                <w:highlight w:val="none"/>
                <w:lang w:val="en-US" w:eastAsia="zh-CN"/>
              </w:rPr>
            </w:pPr>
            <w:r>
              <w:rPr>
                <w:rFonts w:hint="default" w:ascii="宋体" w:hAnsi="宋体" w:eastAsia="宋体" w:cs="宋体"/>
                <w:b w:val="0"/>
                <w:color w:val="auto"/>
                <w:sz w:val="24"/>
                <w:highlight w:val="none"/>
                <w:lang w:val="en-US" w:eastAsia="zh-CN"/>
              </w:rPr>
              <w:t>批发业</w:t>
            </w:r>
          </w:p>
        </w:tc>
      </w:tr>
    </w:tbl>
    <w:p w14:paraId="73A954BB">
      <w:pPr>
        <w:spacing w:line="360" w:lineRule="auto"/>
        <w:ind w:firstLine="437"/>
        <w:rPr>
          <w:rFonts w:hint="eastAsia" w:ascii="宋体" w:hAnsi="宋体" w:eastAsia="宋体" w:cs="宋体"/>
          <w:b/>
          <w:color w:val="auto"/>
          <w:sz w:val="24"/>
          <w:szCs w:val="18"/>
          <w:highlight w:val="none"/>
        </w:rPr>
      </w:pPr>
    </w:p>
    <w:p w14:paraId="53E88F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18"/>
          <w:highlight w:val="none"/>
          <w:lang w:val="en-US" w:eastAsia="zh-CN"/>
        </w:rPr>
      </w:pPr>
      <w:bookmarkStart w:id="0" w:name="_Toc3068"/>
      <w:bookmarkStart w:id="1" w:name="_Toc30807"/>
      <w:r>
        <w:rPr>
          <w:rFonts w:hint="eastAsia" w:ascii="宋体" w:hAnsi="宋体" w:eastAsia="宋体" w:cs="宋体"/>
          <w:b/>
          <w:color w:val="auto"/>
          <w:kern w:val="2"/>
          <w:sz w:val="24"/>
          <w:szCs w:val="18"/>
          <w:lang w:val="en-US" w:eastAsia="zh-CN" w:bidi="ar-SA"/>
        </w:rPr>
        <w:t>二、</w:t>
      </w:r>
      <w:r>
        <w:rPr>
          <w:rFonts w:hint="eastAsia" w:ascii="宋体" w:hAnsi="宋体" w:eastAsia="宋体" w:cs="宋体"/>
          <w:b/>
          <w:color w:val="auto"/>
          <w:sz w:val="24"/>
          <w:szCs w:val="18"/>
          <w:highlight w:val="none"/>
          <w:lang w:val="en-US" w:eastAsia="zh-CN"/>
        </w:rPr>
        <w:t>项目概况</w:t>
      </w:r>
    </w:p>
    <w:p w14:paraId="63E956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投标人</w:t>
      </w:r>
      <w:r>
        <w:rPr>
          <w:rFonts w:hint="eastAsia" w:ascii="宋体" w:hAnsi="宋体" w:eastAsia="宋体" w:cs="宋体"/>
          <w:color w:val="auto"/>
          <w:sz w:val="24"/>
          <w:szCs w:val="24"/>
          <w:highlight w:val="none"/>
        </w:rPr>
        <w:t>供货品种包括吐司粉、蛋糕粉、夹心奶油、烤焙奶油、淡奶油、安佳黄油、熊猫炼乳、芝士碎、面包改良剂、高脂椰蓉、巴旦木粉、海苔松、耐烤巧克力豆、黄油薄脆、高脂可可粉、细糖粉等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最终供货要求以采购人实际需求为准。</w:t>
      </w:r>
    </w:p>
    <w:p w14:paraId="57CDD153">
      <w:pPr>
        <w:keepNext w:val="0"/>
        <w:keepLines w:val="0"/>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textAlignment w:val="auto"/>
        <w:rPr>
          <w:rFonts w:hint="eastAsia" w:ascii="宋体" w:hAnsi="宋体" w:eastAsia="宋体" w:cs="宋体"/>
          <w:b/>
          <w:bCs/>
          <w:color w:val="auto"/>
          <w:kern w:val="2"/>
          <w:sz w:val="24"/>
          <w:szCs w:val="18"/>
          <w:highlight w:val="none"/>
          <w:lang w:val="en-US" w:eastAsia="zh-CN" w:bidi="ar-SA"/>
        </w:rPr>
      </w:pPr>
      <w:r>
        <w:rPr>
          <w:rFonts w:hint="eastAsia" w:ascii="宋体" w:hAnsi="宋体" w:eastAsia="宋体" w:cs="宋体"/>
          <w:b/>
          <w:bCs/>
          <w:color w:val="auto"/>
          <w:kern w:val="2"/>
          <w:sz w:val="24"/>
          <w:szCs w:val="18"/>
          <w:lang w:val="en-US" w:eastAsia="zh-CN" w:bidi="ar-SA"/>
        </w:rPr>
        <w:t>三、</w:t>
      </w:r>
      <w:r>
        <w:rPr>
          <w:rFonts w:hint="eastAsia" w:ascii="宋体" w:hAnsi="宋体" w:eastAsia="宋体" w:cs="宋体"/>
          <w:b/>
          <w:bCs/>
          <w:color w:val="auto"/>
          <w:kern w:val="2"/>
          <w:sz w:val="24"/>
          <w:szCs w:val="18"/>
          <w:highlight w:val="none"/>
          <w:lang w:val="en-US" w:eastAsia="zh-CN" w:bidi="ar-SA"/>
        </w:rPr>
        <w:t>服务内容</w:t>
      </w:r>
    </w:p>
    <w:p w14:paraId="3E94F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供货时需提供所供食材相关的质量检测报告。</w:t>
      </w:r>
      <w:r>
        <w:rPr>
          <w:rFonts w:hint="eastAsia" w:ascii="宋体" w:hAnsi="宋体" w:eastAsia="宋体" w:cs="宋体"/>
          <w:color w:val="auto"/>
          <w:sz w:val="24"/>
          <w:szCs w:val="24"/>
          <w:highlight w:val="none"/>
        </w:rPr>
        <w:t xml:space="preserve">  </w:t>
      </w:r>
    </w:p>
    <w:p w14:paraId="73C74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、服务范围为合肥工业大学屯溪路校区和翡翠湖校区指定地点。</w:t>
      </w:r>
      <w:r>
        <w:rPr>
          <w:rFonts w:hint="eastAsia" w:ascii="宋体" w:hAnsi="宋体" w:eastAsia="宋体" w:cs="宋体"/>
          <w:color w:val="auto"/>
          <w:sz w:val="24"/>
          <w:szCs w:val="24"/>
          <w:highlight w:val="none"/>
        </w:rPr>
        <w:t xml:space="preserve"> </w:t>
      </w:r>
    </w:p>
    <w:p w14:paraId="34B34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、供应商在收到送货通知后，指定专人专车配送按采购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要求的时间配送到指定地点。</w:t>
      </w:r>
    </w:p>
    <w:p w14:paraId="2A257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highlight w:val="none"/>
          <w:lang w:val="en-US" w:eastAsia="zh-CN"/>
        </w:rPr>
        <w:t>采购方按合同对商品进行验收，对不符合规格要求的商品，中标人必须无条件接受退货；供货方未能履行招标文件和合同所定事项, 或供应不合格的、假冒伪劣、以次充好的商品，采购方退货后将记录在案，按照《合肥工业大学饮食服务中心供应商管理暂行办法》处罚；情节严重造成恶劣影响或严重后果的，终止合同</w:t>
      </w:r>
      <w:r>
        <w:rPr>
          <w:rFonts w:hint="eastAsia" w:ascii="宋体" w:hAnsi="宋体" w:eastAsia="宋体" w:cs="宋体"/>
          <w:color w:val="auto"/>
          <w:sz w:val="24"/>
          <w:szCs w:val="24"/>
          <w:highlight w:val="none"/>
        </w:rPr>
        <w:t>。</w:t>
      </w:r>
    </w:p>
    <w:p w14:paraId="3C0E2030">
      <w:pPr>
        <w:keepNext w:val="0"/>
        <w:keepLines w:val="0"/>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textAlignment w:val="auto"/>
        <w:rPr>
          <w:rFonts w:hint="eastAsia" w:ascii="宋体" w:hAnsi="宋体" w:eastAsia="宋体" w:cs="宋体"/>
          <w:b/>
          <w:bCs/>
          <w:color w:val="auto"/>
          <w:kern w:val="2"/>
          <w:sz w:val="24"/>
          <w:szCs w:val="18"/>
          <w:lang w:val="en-US" w:eastAsia="zh-CN" w:bidi="ar-SA"/>
        </w:rPr>
      </w:pPr>
      <w:r>
        <w:rPr>
          <w:rFonts w:hint="eastAsia" w:ascii="宋体" w:hAnsi="宋体" w:eastAsia="宋体" w:cs="宋体"/>
          <w:b/>
          <w:bCs/>
          <w:color w:val="auto"/>
          <w:kern w:val="2"/>
          <w:sz w:val="24"/>
          <w:szCs w:val="18"/>
          <w:lang w:val="en-US" w:eastAsia="zh-CN" w:bidi="ar-SA"/>
        </w:rPr>
        <w:t>四、服务要求</w:t>
      </w:r>
    </w:p>
    <w:p w14:paraId="6C75A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1、供应商在供货过程中须遵守国家的法律法规，不得将中标项目转包、分包，由此产生的一切经济损失由供货方自行承担。</w:t>
      </w:r>
    </w:p>
    <w:p w14:paraId="655D7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2、运输工具应符合卫生标准，定期消毒，保持车厢清洁卫生;</w:t>
      </w:r>
    </w:p>
    <w:p w14:paraId="54A8D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3、货物的包装材料必须有足够的密封性和牢固性以达到保证产品正常的运输与贮存条件下不受污染的目的。外包装应清洁、干燥、密封，无破损。</w:t>
      </w: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59264" behindDoc="0" locked="0" layoutInCell="0" allowOverlap="1">
                <wp:simplePos x="0" y="0"/>
                <wp:positionH relativeFrom="page">
                  <wp:posOffset>1124585</wp:posOffset>
                </wp:positionH>
                <wp:positionV relativeFrom="page">
                  <wp:posOffset>701040</wp:posOffset>
                </wp:positionV>
                <wp:extent cx="5311775"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311775" cy="9525"/>
                        </a:xfrm>
                        <a:custGeom>
                          <a:avLst/>
                          <a:gdLst/>
                          <a:ahLst/>
                          <a:cxnLst/>
                          <a:pathLst>
                            <a:path w="8365" h="15">
                              <a:moveTo>
                                <a:pt x="0" y="7"/>
                              </a:moveTo>
                              <a:lnTo>
                                <a:pt x="8364" y="7"/>
                              </a:lnTo>
                            </a:path>
                          </a:pathLst>
                        </a:custGeom>
                        <a:noFill/>
                        <a:ln w="9525" cap="flat" cmpd="sng">
                          <a:solidFill>
                            <a:srgbClr val="000000"/>
                          </a:solidFill>
                          <a:prstDash val="solid"/>
                          <a:miter lim="1000000"/>
                          <a:headEnd type="none" w="med" len="med"/>
                          <a:tailEnd type="none" w="med" len="med"/>
                        </a:ln>
                        <a:effectLst/>
                      </wps:spPr>
                      <wps:bodyPr upright="1"/>
                    </wps:wsp>
                  </a:graphicData>
                </a:graphic>
              </wp:anchor>
            </w:drawing>
          </mc:Choice>
          <mc:Fallback>
            <w:pict>
              <v:shape id="_x0000_s1026" o:spid="_x0000_s1026" o:spt="100" style="position:absolute;left:0pt;margin-left:88.55pt;margin-top:55.2pt;height:0.75pt;width:418.25pt;mso-position-horizontal-relative:page;mso-position-vertical-relative:page;z-index:251659264;mso-width-relative:page;mso-height-relative:page;" filled="f" stroked="t" coordsize="8365,15" o:allowincell="f" o:gfxdata="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hJS5PYAAAADAEAAA8AAAAAAAAAAQAg&#10;AAAAIgAAAGRycy9kb3ducmV2LnhtbFBLAQIUABQAAAAIAIdO4kATImnbRwIAALQEAAAOAAAAAAAA&#10;AAEAIAAAACcBAABkcnMvZTJvRG9jLnhtbFBLBQYAAAAABgAGAFkBAADgBQAAAAA=&#10;" path="m0,7l8364,7e">
                <v:fill on="f" focussize="0,0"/>
                <v:stroke color="#000000" miterlimit="10" joinstyle="miter"/>
                <v:imagedata o:title=""/>
                <o:lock v:ext="edit" aspectratio="f"/>
              </v:shape>
            </w:pict>
          </mc:Fallback>
        </mc:AlternateContent>
      </w:r>
      <w:r>
        <w:rPr>
          <w:rFonts w:hint="eastAsia" w:ascii="宋体" w:hAnsi="宋体" w:eastAsia="宋体" w:cs="宋体"/>
          <w:color w:val="auto"/>
          <w:sz w:val="24"/>
          <w:szCs w:val="24"/>
          <w:highlight w:val="none"/>
          <w:lang w:val="en-US" w:eastAsia="zh-CN"/>
        </w:rPr>
        <w:t>外包装应有产品合格证和出厂日期等标识。</w:t>
      </w:r>
    </w:p>
    <w:p w14:paraId="4E9F4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4、每期合同达到采购上限或每期合同期满，终止当期合同。可根据考核情况决定是否续签下一期合同，最后一个合同期达到采购上限或合同期满，合同自动终止。</w:t>
      </w:r>
    </w:p>
    <w:p w14:paraId="22DC9946">
      <w:pPr>
        <w:keepNext w:val="0"/>
        <w:keepLines w:val="0"/>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textAlignment w:val="auto"/>
        <w:rPr>
          <w:rFonts w:hint="eastAsia" w:ascii="宋体" w:hAnsi="宋体" w:eastAsia="宋体" w:cs="宋体"/>
          <w:b/>
          <w:bCs/>
          <w:color w:val="auto"/>
          <w:kern w:val="2"/>
          <w:sz w:val="24"/>
          <w:szCs w:val="18"/>
          <w:lang w:val="en-US" w:eastAsia="zh-CN" w:bidi="ar-SA"/>
        </w:rPr>
      </w:pPr>
      <w:r>
        <w:rPr>
          <w:rFonts w:hint="eastAsia" w:ascii="宋体" w:hAnsi="宋体" w:eastAsia="宋体" w:cs="宋体"/>
          <w:b/>
          <w:bCs/>
          <w:color w:val="auto"/>
          <w:kern w:val="2"/>
          <w:sz w:val="24"/>
          <w:szCs w:val="18"/>
          <w:lang w:val="en-US" w:eastAsia="zh-CN" w:bidi="ar-SA"/>
        </w:rPr>
        <w:t>五、报价要求</w:t>
      </w:r>
    </w:p>
    <w:p w14:paraId="138B0D90">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1、本项目采用费率报价，投标人依据本项目所采购标的基准价报出费率（即统一折扣），所报费率不得高于 100%，否则响应无效。 </w:t>
      </w:r>
    </w:p>
    <w:p w14:paraId="0DBCEB7D">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注：采购人与供应商等组成询价小组，基准价按以下方式确定：</w:t>
      </w:r>
    </w:p>
    <w:p w14:paraId="1D0A210A">
      <w:pPr>
        <w:wordWrap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采购人与供应商等组成询价小组，基准价按以下方式确定： ①询价当日“周谷堆农产品批发市场”网公布的均价为基准价；</w:t>
      </w:r>
    </w:p>
    <w:p w14:paraId="2ED0BD4A">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②若“周谷堆农产品批发市场”网没有该货物的均价，由询价小组按照周谷堆农产品批发市场或其他大型批发市场（经营面积超过4</w:t>
      </w:r>
      <w:r>
        <w:rPr>
          <w:rFonts w:hint="eastAsia" w:ascii="宋体" w:hAnsi="宋体" w:eastAsia="宋体" w:cs="宋体"/>
          <w:color w:val="auto"/>
          <w:sz w:val="24"/>
          <w:szCs w:val="24"/>
          <w:highlight w:val="none"/>
          <w:lang w:val="en-US" w:eastAsia="zh-CN"/>
        </w:rPr>
        <w:t>00平方米）价格进行调研，以调研价格的市场价作为基准价；</w:t>
      </w:r>
    </w:p>
    <w:p w14:paraId="30E938BB">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③若①和②没有该货物的均价，询价小组调研合肥市内其他高校食堂采购价格或双方认可的电商平台的价格，以调研价格的市场价作为基准价；</w:t>
      </w:r>
    </w:p>
    <w:p w14:paraId="2071E2A4">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基准价调整频率以采购人实际需求为准（</w:t>
      </w:r>
      <w:r>
        <w:rPr>
          <w:rFonts w:hint="eastAsia" w:ascii="宋体" w:hAnsi="宋体" w:eastAsia="宋体" w:cs="宋体"/>
          <w:color w:val="auto"/>
          <w:sz w:val="24"/>
          <w:szCs w:val="24"/>
          <w:lang w:val="en-US" w:eastAsia="zh-CN"/>
        </w:rPr>
        <w:t xml:space="preserve">烘焙类基准价调整频率一月一次）。 </w:t>
      </w:r>
    </w:p>
    <w:p w14:paraId="307A94B2">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2、中标人凭采购人提供的收货记录，按照其基准价和中标费率进行结算。上述费用包含配送、运输、人工、搬运等一切费用，在合同期间中标人不得另行收取其他任何额外费用。例：某类物品基准价为 10 元/千克，实际供货数量为 100 千克，若中标费率为 95%，那么该类物品结算价=10 元/千克×95%×100 千克=950 元。</w:t>
      </w:r>
    </w:p>
    <w:p w14:paraId="5B27A07C">
      <w:pPr>
        <w:spacing w:line="360" w:lineRule="auto"/>
        <w:ind w:firstLine="0" w:firstLineChars="0"/>
        <w:rPr>
          <w:rFonts w:hint="eastAsia" w:ascii="宋体" w:hAnsi="宋体" w:eastAsia="宋体" w:cs="宋体"/>
          <w:b/>
          <w:bCs/>
          <w:color w:val="auto"/>
          <w:kern w:val="2"/>
          <w:sz w:val="24"/>
          <w:szCs w:val="18"/>
          <w:lang w:val="en-US" w:eastAsia="zh-CN" w:bidi="ar-SA"/>
        </w:rPr>
      </w:pPr>
      <w:r>
        <w:rPr>
          <w:rFonts w:hint="eastAsia" w:ascii="宋体" w:hAnsi="宋体" w:eastAsia="宋体" w:cs="宋体"/>
          <w:b/>
          <w:bCs/>
          <w:color w:val="auto"/>
          <w:kern w:val="2"/>
          <w:sz w:val="24"/>
          <w:szCs w:val="18"/>
          <w:lang w:val="en-US" w:eastAsia="zh-CN" w:bidi="ar-SA"/>
        </w:rPr>
        <w:t>六、</w:t>
      </w:r>
      <w:bookmarkEnd w:id="0"/>
      <w:bookmarkEnd w:id="1"/>
      <w:r>
        <w:rPr>
          <w:rFonts w:hint="eastAsia" w:ascii="宋体" w:hAnsi="宋体" w:eastAsia="宋体" w:cs="宋体"/>
          <w:b/>
          <w:bCs/>
          <w:color w:val="auto"/>
          <w:kern w:val="2"/>
          <w:sz w:val="24"/>
          <w:szCs w:val="18"/>
          <w:lang w:val="en-US" w:eastAsia="zh-CN" w:bidi="ar-SA"/>
        </w:rPr>
        <w:t>验收标准\评估考核要求：</w:t>
      </w:r>
    </w:p>
    <w:p w14:paraId="34040848">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1、中标人为本项目安排的配送车辆不符合招标要求，卫生状况较差，采购人将按200元－2000元/车次的标准收取中标人违约金，且有权拒收该批次全部货物，由此造成的一切经济损失由中标人承担。</w:t>
      </w:r>
    </w:p>
    <w:p w14:paraId="7C328E7F">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2、中标人及本项目工作人员在校园违反学校管理规定，或发生交通事故，采购人将按1000元/次的标准收取中标人违约金，且因事故引起的全部经济与法律责任由中标人承担。</w:t>
      </w:r>
    </w:p>
    <w:p w14:paraId="492C37D5">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未按采购人订单配送，货物品种、质量不符合合同约定；未提供公司资质证书和同批次质量检测报告；未在规定时间送到采购人指定的地点，若影响食堂正常工作，则采购人有权拒收该批次全部货物，并视其情节轻重按500元－2000元/批次的标准收取中标人违约金，且采购人为维持食堂正常生产所需在市场采购的同等级产品差价由中标人承担。</w:t>
      </w:r>
    </w:p>
    <w:p w14:paraId="29F9B2EF">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人现场不履行验收应尽义务（如：不卸货、不参与验收、阻挠采购人验收人员正常行使验收职责、无故不签字确认相关票据、表格等），采购人将视其情节轻重按1000元－3000元/次的标准收取中标人违约金，并拒收该批次全部货物，且由此造成的一切经济损失由中标人承担。</w:t>
      </w:r>
    </w:p>
    <w:p w14:paraId="245F0057">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未经采购人同意，中标人单方面停止向采购人供货的，或将本项目或其中任意部分进行转包或分包，采购人有权扣除中标人的全部未支付货款及履约保证金，保留终止合同并进一步追究中标人经济和法律责任的权利。</w:t>
      </w:r>
    </w:p>
    <w:p w14:paraId="3ACC7CB1">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6、如因中标人过错或过失原因给采购人造成损失或侵害，包括但不限于采购人本身的财产损失、由此而导致的采购人对任何第三方的法律责任等，中标人对此均应承担全部的赔偿责任。</w:t>
      </w:r>
    </w:p>
    <w:p w14:paraId="3457DE54">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有下列情形之一的，采购人可以解除合同：a.在履行期限届满之前，中标人不履行主要义务；b.中标人迟延履行主要义务，经催告后在合理期限内仍未履行；或者有其他违约行为致使不能实现合同目的；c.在履约期间，政府相关职能部门对中标人督导检查出现不合格情况经整改仍不合格的。d.中标人拒绝接受政府相关职能部门监督检查；向监督管理部门、采购人采购工作人员行贿或提供其他不正当利益；向采购人虚开销售凭证。e.法律规定的其他情形。 </w:t>
      </w:r>
    </w:p>
    <w:p w14:paraId="65D44A01">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若中标人所提供物资的质量因不符合相关质量标准，导致采购人被卫生防疫、检疫部门处罚，所产生的罚款费用由中标人全额承担，并将依据合同条款进行处罚，情节严重者终止合同，并按合同违约条款进行赔偿。 </w:t>
      </w:r>
    </w:p>
    <w:p w14:paraId="1A259B6D">
      <w:p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9、因食材的质量问题发生争议，由市场监管部门或其它权威质量鉴定机构进行质量鉴定。食材符合标准的，鉴定费由采购人承担；食材不符合质量标准的，鉴定费由中标人承担。     </w:t>
      </w:r>
    </w:p>
    <w:p w14:paraId="05C81A8A">
      <w:pPr>
        <w:keepNext w:val="0"/>
        <w:keepLines w:val="0"/>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textAlignment w:val="auto"/>
        <w:rPr>
          <w:rFonts w:hint="eastAsia" w:ascii="宋体" w:hAnsi="宋体" w:eastAsia="宋体" w:cs="宋体"/>
          <w:b/>
          <w:bCs/>
          <w:color w:val="auto"/>
          <w:kern w:val="2"/>
          <w:sz w:val="24"/>
          <w:szCs w:val="18"/>
          <w:lang w:val="en-US" w:eastAsia="zh-CN" w:bidi="ar-SA"/>
        </w:rPr>
      </w:pPr>
      <w:r>
        <w:rPr>
          <w:rFonts w:hint="eastAsia" w:ascii="宋体" w:hAnsi="宋体" w:eastAsia="宋体" w:cs="宋体"/>
          <w:b/>
          <w:bCs/>
          <w:color w:val="auto"/>
          <w:kern w:val="2"/>
          <w:sz w:val="24"/>
          <w:szCs w:val="18"/>
          <w:lang w:val="en-US" w:eastAsia="zh-CN" w:bidi="ar-SA"/>
        </w:rPr>
        <w:t xml:space="preserve">七、其他要求 </w:t>
      </w:r>
    </w:p>
    <w:p w14:paraId="721F26E3">
      <w:pPr>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1、所提供的食材必须符合国家相关规定要求，产品包装清洁完整无破箱，商标、品名、生产厂家、生产日期、保质日期齐全且在保质期内，不超过保质期三分之一;</w:t>
      </w:r>
    </w:p>
    <w:p w14:paraId="42300BBC">
      <w:pPr>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2、因质量、规格问题需退换货的由供应商负责按中心要求补足。屯溪路校区供应商补（换）货时间不得超过两个小时，翡翠湖校区补（换）货不得超过四个小时（特殊情况除外）。</w:t>
      </w:r>
    </w:p>
    <w:p w14:paraId="19015FF7">
      <w:pPr>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3、中标人不得以任何理由拒绝供货（不可抗力因素除外），否则采购人有权扣除履约保证金并终</w:t>
      </w:r>
      <w:bookmarkStart w:id="2" w:name="_GoBack"/>
      <w:bookmarkEnd w:id="2"/>
      <w:r>
        <w:rPr>
          <w:rFonts w:hint="eastAsia" w:ascii="宋体" w:hAnsi="宋体" w:eastAsia="宋体" w:cs="宋体"/>
          <w:color w:val="auto"/>
          <w:sz w:val="24"/>
          <w:szCs w:val="24"/>
          <w:lang w:val="en-US" w:eastAsia="zh-CN"/>
        </w:rPr>
        <w:t xml:space="preserve">止合同，由此造成的一切损失，由中标人自行承担。 </w:t>
      </w:r>
    </w:p>
    <w:p w14:paraId="3BBF4FA5">
      <w:pPr>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4、如遇自然灾害等不可预见的因素造成的个别品种产品价格需临时做调整的，中标人应遵循当时的市场价格标准，事先与采购人协商，并在获得采购人书面同意后方可调整。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1FD93FC1"/>
    <w:rsid w:val="44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样式1"/>
    <w:basedOn w:val="1"/>
    <w:uiPriority w:val="0"/>
    <w:rPr>
      <w:rFonts w:hint="eastAsia" w:ascii="@仿宋_GB2312" w:hAnsi="@仿宋_GB2312" w:eastAsia="仿宋" w:cs="@仿宋_GB2312"/>
    </w:rPr>
  </w:style>
  <w:style w:type="paragraph" w:customStyle="1" w:styleId="6">
    <w:name w:val="宋体"/>
    <w:basedOn w:val="1"/>
    <w:qFormat/>
    <w:uiPriority w:val="0"/>
    <w:rPr>
      <w:rFonts w:hint="eastAsia" w:ascii="@仿宋_GB2312" w:hAnsi="@仿宋_GB2312" w:eastAsia="宋体" w:cs="@仿宋_GB2312"/>
    </w:rPr>
  </w:style>
  <w:style w:type="paragraph" w:customStyle="1" w:styleId="7">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2025-11-24T03:10:53Z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