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03D81">
      <w:pPr>
        <w:pStyle w:val="2"/>
        <w:ind w:left="0" w:leftChars="0" w:firstLine="0" w:firstLineChars="0"/>
        <w:jc w:val="center"/>
        <w:rPr>
          <w:rFonts w:hint="eastAsia" w:ascii="华文中宋" w:hAnsi="华文中宋" w:eastAsia="华文中宋"/>
          <w:sz w:val="32"/>
          <w:szCs w:val="32"/>
          <w:lang w:val="en-US" w:eastAsia="zh-CN"/>
        </w:rPr>
      </w:pPr>
      <w:bookmarkStart w:id="0" w:name="_Toc35393813"/>
      <w:r>
        <w:rPr>
          <w:rFonts w:hint="eastAsia" w:ascii="华文中宋" w:hAnsi="华文中宋" w:eastAsia="华文中宋"/>
          <w:sz w:val="32"/>
          <w:szCs w:val="32"/>
          <w:lang w:eastAsia="zh-CN"/>
        </w:rPr>
        <w:t>安徽开放大学综合楼一楼食堂后厨设备采购项目</w:t>
      </w:r>
      <w:r>
        <w:rPr>
          <w:rFonts w:hint="eastAsia" w:ascii="华文中宋" w:hAnsi="华文中宋" w:eastAsia="华文中宋"/>
          <w:sz w:val="32"/>
          <w:szCs w:val="32"/>
        </w:rPr>
        <w:t>更正公告</w:t>
      </w:r>
      <w:bookmarkEnd w:id="0"/>
      <w:r>
        <w:rPr>
          <w:rFonts w:hint="eastAsia" w:ascii="华文中宋" w:hAnsi="华文中宋" w:eastAsia="华文中宋"/>
          <w:sz w:val="32"/>
          <w:szCs w:val="32"/>
          <w:lang w:val="en-US" w:eastAsia="zh-CN"/>
        </w:rPr>
        <w:t>附件</w:t>
      </w:r>
    </w:p>
    <w:p w14:paraId="6D3A6CFE">
      <w:pPr>
        <w:pStyle w:val="2"/>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采购清单</w:t>
      </w:r>
      <w:r>
        <w:rPr>
          <w:rFonts w:hint="eastAsia" w:asciiTheme="minorEastAsia" w:hAnsiTheme="minorEastAsia" w:eastAsiaTheme="minorEastAsia" w:cstheme="minorEastAsia"/>
          <w:b/>
          <w:bCs/>
          <w:lang w:val="en-US" w:eastAsia="zh-CN"/>
        </w:rPr>
        <w:t>中切菜机</w:t>
      </w:r>
      <w:r>
        <w:rPr>
          <w:rFonts w:hint="eastAsia" w:asciiTheme="minorEastAsia" w:hAnsiTheme="minorEastAsia" w:eastAsiaTheme="minorEastAsia" w:cstheme="minorEastAsia"/>
          <w:b/>
          <w:bCs/>
        </w:rPr>
        <w:t>：</w:t>
      </w:r>
    </w:p>
    <w:p w14:paraId="02016636">
      <w:pPr>
        <w:pStyle w:val="2"/>
        <w:rPr>
          <w:rFonts w:hint="eastAsia" w:asciiTheme="minorEastAsia" w:hAnsiTheme="minorEastAsia" w:eastAsiaTheme="minorEastAsia" w:cstheme="minorEastAsia"/>
          <w:b/>
          <w:bCs/>
        </w:rPr>
      </w:pPr>
    </w:p>
    <w:tbl>
      <w:tblPr>
        <w:tblStyle w:val="3"/>
        <w:tblW w:w="5000" w:type="pct"/>
        <w:tblInd w:w="0" w:type="dxa"/>
        <w:tblLayout w:type="autofit"/>
        <w:tblCellMar>
          <w:top w:w="0" w:type="dxa"/>
          <w:left w:w="108" w:type="dxa"/>
          <w:bottom w:w="0" w:type="dxa"/>
          <w:right w:w="108" w:type="dxa"/>
        </w:tblCellMar>
      </w:tblPr>
      <w:tblGrid>
        <w:gridCol w:w="336"/>
        <w:gridCol w:w="776"/>
        <w:gridCol w:w="1776"/>
        <w:gridCol w:w="336"/>
        <w:gridCol w:w="456"/>
        <w:gridCol w:w="3500"/>
        <w:gridCol w:w="962"/>
        <w:gridCol w:w="380"/>
      </w:tblGrid>
      <w:tr w14:paraId="5A248E85">
        <w:tblPrEx>
          <w:tblCellMar>
            <w:top w:w="0" w:type="dxa"/>
            <w:left w:w="108" w:type="dxa"/>
            <w:bottom w:w="0" w:type="dxa"/>
            <w:right w:w="108" w:type="dxa"/>
          </w:tblCellMar>
        </w:tblPrEx>
        <w:trPr>
          <w:trHeight w:val="2700" w:hRule="atLeast"/>
        </w:trPr>
        <w:tc>
          <w:tcPr>
            <w:tcW w:w="237" w:type="pct"/>
            <w:tcBorders>
              <w:top w:val="single" w:color="auto" w:sz="4" w:space="0"/>
              <w:left w:val="single" w:color="auto" w:sz="4" w:space="0"/>
              <w:bottom w:val="single" w:color="auto" w:sz="4" w:space="0"/>
              <w:right w:val="single" w:color="auto" w:sz="4" w:space="0"/>
            </w:tcBorders>
            <w:vAlign w:val="center"/>
          </w:tcPr>
          <w:p w14:paraId="6E243D9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508" w:type="pct"/>
            <w:tcBorders>
              <w:top w:val="single" w:color="auto" w:sz="4" w:space="0"/>
              <w:left w:val="nil"/>
              <w:bottom w:val="single" w:color="auto" w:sz="4" w:space="0"/>
              <w:right w:val="single" w:color="auto" w:sz="4" w:space="0"/>
            </w:tcBorders>
            <w:vAlign w:val="center"/>
          </w:tcPr>
          <w:p w14:paraId="7F5BB62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切菜机</w:t>
            </w:r>
          </w:p>
        </w:tc>
        <w:tc>
          <w:tcPr>
            <w:tcW w:w="809" w:type="pct"/>
            <w:tcBorders>
              <w:top w:val="single" w:color="auto" w:sz="4" w:space="0"/>
              <w:left w:val="nil"/>
              <w:bottom w:val="single" w:color="auto" w:sz="4" w:space="0"/>
              <w:right w:val="single" w:color="auto" w:sz="4" w:space="0"/>
            </w:tcBorders>
            <w:vAlign w:val="center"/>
          </w:tcPr>
          <w:p w14:paraId="7C66D59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1200*530*1280（尺寸仅供参考）</w:t>
            </w:r>
          </w:p>
        </w:tc>
        <w:tc>
          <w:tcPr>
            <w:tcW w:w="207" w:type="pct"/>
            <w:tcBorders>
              <w:top w:val="single" w:color="auto" w:sz="4" w:space="0"/>
              <w:left w:val="nil"/>
              <w:bottom w:val="single" w:color="auto" w:sz="4" w:space="0"/>
              <w:right w:val="single" w:color="auto" w:sz="4" w:space="0"/>
            </w:tcBorders>
            <w:vAlign w:val="center"/>
          </w:tcPr>
          <w:p w14:paraId="101D1EA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223" w:type="pct"/>
            <w:tcBorders>
              <w:top w:val="single" w:color="auto" w:sz="4" w:space="0"/>
              <w:left w:val="nil"/>
              <w:bottom w:val="single" w:color="auto" w:sz="4" w:space="0"/>
              <w:right w:val="single" w:color="auto" w:sz="4" w:space="0"/>
            </w:tcBorders>
            <w:vAlign w:val="center"/>
          </w:tcPr>
          <w:p w14:paraId="482ED9C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c>
          <w:tcPr>
            <w:tcW w:w="2136" w:type="pct"/>
            <w:tcBorders>
              <w:top w:val="single" w:color="auto" w:sz="4" w:space="0"/>
              <w:left w:val="nil"/>
              <w:bottom w:val="single" w:color="auto" w:sz="4" w:space="0"/>
              <w:right w:val="single" w:color="auto" w:sz="4" w:space="0"/>
            </w:tcBorders>
            <w:vAlign w:val="center"/>
          </w:tcPr>
          <w:p w14:paraId="48661FC1">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1.叶菜类切菜部：由输送带输送原料，转刀速度和皮带速度分别有电压调频控制，切菜尺寸可以调节1-30mm。一机多用，省时省力可替代10-15人的工作量，整机卫生、美观、耐用。最新双轴承座设计，刀片为420钢。</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用途：根茎类切菜部：马铃薯、竽头、蕃薯、瓜类、竹笋、洋葱、茄子；叶菜类：芹菜、大白菜、高丽菜、菠菜等长条状之物切成丁、片、丝条状，刀盘可简易的进行更换，以配合不同的生产需求。根茎类，成品形状：片、四角丝条、丁、斜片。叶菜类，切割尺寸:1-30mm可以调整；</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3、切菜机所用板材为201不锈钢材质。</w:t>
            </w:r>
          </w:p>
        </w:tc>
        <w:tc>
          <w:tcPr>
            <w:tcW w:w="611" w:type="pct"/>
            <w:tcBorders>
              <w:top w:val="single" w:color="auto" w:sz="4" w:space="0"/>
              <w:left w:val="nil"/>
              <w:bottom w:val="single" w:color="auto" w:sz="4" w:space="0"/>
              <w:right w:val="single" w:color="auto" w:sz="4" w:space="0"/>
            </w:tcBorders>
            <w:vAlign w:val="center"/>
          </w:tcPr>
          <w:p w14:paraId="10DD153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drawing>
                <wp:anchor distT="0" distB="0" distL="114300" distR="114300" simplePos="0" relativeHeight="251659264" behindDoc="0" locked="0" layoutInCell="1" allowOverlap="1">
                  <wp:simplePos x="0" y="0"/>
                  <wp:positionH relativeFrom="column">
                    <wp:posOffset>59690</wp:posOffset>
                  </wp:positionH>
                  <wp:positionV relativeFrom="paragraph">
                    <wp:posOffset>503555</wp:posOffset>
                  </wp:positionV>
                  <wp:extent cx="843280" cy="986155"/>
                  <wp:effectExtent l="0" t="0" r="7620" b="4445"/>
                  <wp:wrapNone/>
                  <wp:docPr id="4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
                          <pic:cNvPicPr>
                            <a:picLocks noChangeAspect="1"/>
                          </pic:cNvPicPr>
                        </pic:nvPicPr>
                        <pic:blipFill>
                          <a:blip r:embed="rId4"/>
                          <a:stretch>
                            <a:fillRect/>
                          </a:stretch>
                        </pic:blipFill>
                        <pic:spPr>
                          <a:xfrm>
                            <a:off x="0" y="0"/>
                            <a:ext cx="843280" cy="986155"/>
                          </a:xfrm>
                          <a:prstGeom prst="rect">
                            <a:avLst/>
                          </a:prstGeom>
                          <a:noFill/>
                          <a:ln>
                            <a:noFill/>
                          </a:ln>
                        </pic:spPr>
                      </pic:pic>
                    </a:graphicData>
                  </a:graphic>
                </wp:anchor>
              </w:drawing>
            </w:r>
          </w:p>
        </w:tc>
        <w:tc>
          <w:tcPr>
            <w:tcW w:w="269" w:type="pct"/>
            <w:tcBorders>
              <w:top w:val="single" w:color="auto" w:sz="4" w:space="0"/>
              <w:left w:val="nil"/>
              <w:bottom w:val="single" w:color="auto" w:sz="4" w:space="0"/>
              <w:right w:val="single" w:color="auto" w:sz="4" w:space="0"/>
            </w:tcBorders>
            <w:vAlign w:val="center"/>
          </w:tcPr>
          <w:p w14:paraId="0C84B51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bl>
    <w:p w14:paraId="3E12F408">
      <w:pPr>
        <w:spacing w:line="360" w:lineRule="auto"/>
        <w:ind w:firstLine="435"/>
        <w:outlineLvl w:val="2"/>
        <w:rPr>
          <w:rFonts w:hint="eastAsia" w:asciiTheme="minorEastAsia" w:hAnsiTheme="minorEastAsia" w:eastAsiaTheme="minorEastAsia" w:cstheme="minorEastAsia"/>
          <w:b/>
          <w:sz w:val="24"/>
        </w:rPr>
      </w:pPr>
    </w:p>
    <w:p w14:paraId="0EDC4B0B">
      <w:pPr>
        <w:spacing w:line="360" w:lineRule="auto"/>
        <w:ind w:firstLine="435"/>
        <w:outlineLvl w:val="2"/>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2.2综合评分</w:t>
      </w:r>
    </w:p>
    <w:p w14:paraId="34379327">
      <w:pPr>
        <w:spacing w:line="360" w:lineRule="auto"/>
        <w:ind w:firstLine="43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2.2.1磋商小组按照下表对进入综合评分的所有供应商的响应文件进行综合评分。</w:t>
      </w:r>
    </w:p>
    <w:p w14:paraId="531514CF">
      <w:pPr>
        <w:spacing w:line="360" w:lineRule="auto"/>
        <w:ind w:firstLine="43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2.2.2本项目综合评分满分为100分，其中：技术资信分值占总分值的权重为</w:t>
      </w:r>
      <w:r>
        <w:rPr>
          <w:rFonts w:hint="eastAsia" w:asciiTheme="minorEastAsia" w:hAnsiTheme="minorEastAsia" w:eastAsiaTheme="minorEastAsia" w:cstheme="minorEastAsia"/>
          <w:sz w:val="24"/>
          <w:u w:val="single"/>
        </w:rPr>
        <w:t xml:space="preserve"> 70  </w:t>
      </w:r>
      <w:r>
        <w:rPr>
          <w:rFonts w:hint="eastAsia" w:asciiTheme="minorEastAsia" w:hAnsiTheme="minorEastAsia" w:eastAsiaTheme="minorEastAsia" w:cstheme="minorEastAsia"/>
          <w:sz w:val="24"/>
        </w:rPr>
        <w:t>%，价格分值占总分值的权重为</w:t>
      </w:r>
      <w:r>
        <w:rPr>
          <w:rFonts w:hint="eastAsia" w:asciiTheme="minorEastAsia" w:hAnsiTheme="minorEastAsia" w:eastAsiaTheme="minorEastAsia" w:cstheme="minorEastAsia"/>
          <w:sz w:val="24"/>
          <w:u w:val="single"/>
        </w:rPr>
        <w:t xml:space="preserve">  30 </w:t>
      </w:r>
      <w:r>
        <w:rPr>
          <w:rFonts w:hint="eastAsia" w:asciiTheme="minorEastAsia" w:hAnsiTheme="minorEastAsia" w:eastAsiaTheme="minorEastAsia" w:cstheme="minorEastAsia"/>
          <w:sz w:val="24"/>
        </w:rPr>
        <w:t>%。具体评分细则如下：</w:t>
      </w:r>
    </w:p>
    <w:tbl>
      <w:tblPr>
        <w:tblStyle w:val="3"/>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1739"/>
        <w:gridCol w:w="3788"/>
        <w:gridCol w:w="1596"/>
      </w:tblGrid>
      <w:tr w14:paraId="37C2A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93" w:type="dxa"/>
            <w:tcBorders>
              <w:top w:val="single" w:color="auto" w:sz="4" w:space="0"/>
              <w:left w:val="single" w:color="auto" w:sz="4" w:space="0"/>
              <w:bottom w:val="single" w:color="auto" w:sz="4" w:space="0"/>
              <w:right w:val="single" w:color="auto" w:sz="4" w:space="0"/>
            </w:tcBorders>
            <w:vAlign w:val="center"/>
          </w:tcPr>
          <w:p w14:paraId="42034F59">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类别</w:t>
            </w:r>
          </w:p>
        </w:tc>
        <w:tc>
          <w:tcPr>
            <w:tcW w:w="1739" w:type="dxa"/>
            <w:tcBorders>
              <w:top w:val="single" w:color="auto" w:sz="4" w:space="0"/>
              <w:left w:val="single" w:color="auto" w:sz="4" w:space="0"/>
              <w:bottom w:val="single" w:color="auto" w:sz="4" w:space="0"/>
              <w:right w:val="single" w:color="auto" w:sz="4" w:space="0"/>
            </w:tcBorders>
            <w:vAlign w:val="center"/>
          </w:tcPr>
          <w:p w14:paraId="5F56B1EC">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评分内容</w:t>
            </w:r>
          </w:p>
        </w:tc>
        <w:tc>
          <w:tcPr>
            <w:tcW w:w="3788" w:type="dxa"/>
            <w:tcBorders>
              <w:top w:val="single" w:color="auto" w:sz="4" w:space="0"/>
              <w:left w:val="single" w:color="auto" w:sz="4" w:space="0"/>
              <w:bottom w:val="single" w:color="auto" w:sz="4" w:space="0"/>
              <w:right w:val="single" w:color="auto" w:sz="4" w:space="0"/>
            </w:tcBorders>
            <w:vAlign w:val="center"/>
          </w:tcPr>
          <w:p w14:paraId="4B1B50DE">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评分标准</w:t>
            </w:r>
          </w:p>
        </w:tc>
        <w:tc>
          <w:tcPr>
            <w:tcW w:w="1596" w:type="dxa"/>
            <w:tcBorders>
              <w:top w:val="single" w:color="auto" w:sz="4" w:space="0"/>
              <w:left w:val="single" w:color="auto" w:sz="4" w:space="0"/>
              <w:bottom w:val="single" w:color="auto" w:sz="4" w:space="0"/>
              <w:right w:val="single" w:color="auto" w:sz="4" w:space="0"/>
            </w:tcBorders>
            <w:vAlign w:val="center"/>
          </w:tcPr>
          <w:p w14:paraId="665066D0">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分值范围</w:t>
            </w:r>
          </w:p>
        </w:tc>
      </w:tr>
      <w:tr w14:paraId="7772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vMerge w:val="restart"/>
            <w:tcBorders>
              <w:top w:val="single" w:color="auto" w:sz="4" w:space="0"/>
              <w:left w:val="single" w:color="auto" w:sz="4" w:space="0"/>
              <w:right w:val="single" w:color="auto" w:sz="4" w:space="0"/>
            </w:tcBorders>
            <w:vAlign w:val="center"/>
          </w:tcPr>
          <w:p w14:paraId="282A3D7A">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技术资信分</w:t>
            </w:r>
          </w:p>
          <w:p w14:paraId="3EA28CF9">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（70分）</w:t>
            </w:r>
          </w:p>
        </w:tc>
        <w:tc>
          <w:tcPr>
            <w:tcW w:w="1739" w:type="dxa"/>
            <w:tcBorders>
              <w:top w:val="single" w:color="auto" w:sz="4" w:space="0"/>
              <w:left w:val="single" w:color="auto" w:sz="4" w:space="0"/>
              <w:bottom w:val="single" w:color="auto" w:sz="4" w:space="0"/>
              <w:right w:val="single" w:color="auto" w:sz="4" w:space="0"/>
            </w:tcBorders>
          </w:tcPr>
          <w:p w14:paraId="1C8BB99F">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产品质量</w:t>
            </w:r>
          </w:p>
        </w:tc>
        <w:tc>
          <w:tcPr>
            <w:tcW w:w="3788" w:type="dxa"/>
            <w:tcBorders>
              <w:top w:val="single" w:color="auto" w:sz="4" w:space="0"/>
              <w:left w:val="single" w:color="auto" w:sz="4" w:space="0"/>
              <w:bottom w:val="single" w:color="auto" w:sz="4" w:space="0"/>
              <w:right w:val="single" w:color="auto" w:sz="4" w:space="0"/>
            </w:tcBorders>
          </w:tcPr>
          <w:p w14:paraId="35BAFE76">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所投燃气灶具类、电器类产品能提供第三方产品质量检验报告且结论为合格以上的，每有一种得1分，满分8分。</w:t>
            </w:r>
          </w:p>
          <w:p w14:paraId="33ADD51D">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所投不锈钢货架、冷冻冷藏柜、不锈钢工作台、不锈钢餐车、不锈钢水池（星盆）、消毒柜，每提供一个食品接触产品安全认证证书的（需包含所投产品的型号），每有一种得1分，满分8分。</w:t>
            </w:r>
          </w:p>
          <w:p w14:paraId="1B26EC51">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所投的大锅灶、蒸箱设备、制冷设备是国家一级能效产品的，每有一种得2分，满分8分。</w:t>
            </w:r>
          </w:p>
          <w:p w14:paraId="5031AE64">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投标时提供证明文件扫描件。</w:t>
            </w:r>
          </w:p>
        </w:tc>
        <w:tc>
          <w:tcPr>
            <w:tcW w:w="1596" w:type="dxa"/>
            <w:tcBorders>
              <w:top w:val="single" w:color="auto" w:sz="4" w:space="0"/>
              <w:left w:val="single" w:color="auto" w:sz="4" w:space="0"/>
              <w:bottom w:val="single" w:color="auto" w:sz="4" w:space="0"/>
              <w:right w:val="single" w:color="auto" w:sz="4" w:space="0"/>
            </w:tcBorders>
          </w:tcPr>
          <w:p w14:paraId="4C2BC299">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0-24分</w:t>
            </w:r>
          </w:p>
        </w:tc>
      </w:tr>
      <w:tr w14:paraId="3D6D3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vMerge w:val="continue"/>
            <w:tcBorders>
              <w:left w:val="single" w:color="auto" w:sz="4" w:space="0"/>
              <w:right w:val="single" w:color="auto" w:sz="4" w:space="0"/>
            </w:tcBorders>
            <w:vAlign w:val="center"/>
          </w:tcPr>
          <w:p w14:paraId="0273E374">
            <w:pPr>
              <w:spacing w:line="360" w:lineRule="auto"/>
              <w:ind w:firstLine="480" w:firstLineChars="200"/>
              <w:rPr>
                <w:rFonts w:hint="eastAsia" w:asciiTheme="minorEastAsia" w:hAnsiTheme="minorEastAsia" w:eastAsiaTheme="minorEastAsia" w:cstheme="minorEastAsia"/>
                <w:sz w:val="24"/>
              </w:rPr>
            </w:pPr>
          </w:p>
        </w:tc>
        <w:tc>
          <w:tcPr>
            <w:tcW w:w="1739" w:type="dxa"/>
            <w:tcBorders>
              <w:top w:val="single" w:color="auto" w:sz="4" w:space="0"/>
              <w:left w:val="single" w:color="auto" w:sz="4" w:space="0"/>
              <w:bottom w:val="single" w:color="auto" w:sz="4" w:space="0"/>
              <w:right w:val="single" w:color="auto" w:sz="4" w:space="0"/>
            </w:tcBorders>
          </w:tcPr>
          <w:p w14:paraId="2D4881C4">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原材料质检</w:t>
            </w:r>
          </w:p>
        </w:tc>
        <w:tc>
          <w:tcPr>
            <w:tcW w:w="3788" w:type="dxa"/>
            <w:tcBorders>
              <w:top w:val="single" w:color="auto" w:sz="4" w:space="0"/>
              <w:left w:val="single" w:color="auto" w:sz="4" w:space="0"/>
              <w:bottom w:val="single" w:color="auto" w:sz="4" w:space="0"/>
              <w:right w:val="single" w:color="auto" w:sz="4" w:space="0"/>
            </w:tcBorders>
          </w:tcPr>
          <w:p w14:paraId="3B66C761">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所投不锈钢货架、冷冻冷藏柜、不锈钢工作台、不锈钢餐车、不锈钢水池（星盆）产品具有CQC（中国质量认证中心）出具的不锈钢板材检测报告，符合食品级接触材料要求，其中砷、镉、铅、铬、镍元素含量均符合要求的，得5分，不全不得分。</w:t>
            </w:r>
          </w:p>
          <w:p w14:paraId="74B7F4FA">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投标时提供证明文件扫描件。</w:t>
            </w:r>
          </w:p>
        </w:tc>
        <w:tc>
          <w:tcPr>
            <w:tcW w:w="1596" w:type="dxa"/>
            <w:tcBorders>
              <w:top w:val="single" w:color="auto" w:sz="4" w:space="0"/>
              <w:left w:val="single" w:color="auto" w:sz="4" w:space="0"/>
              <w:bottom w:val="single" w:color="auto" w:sz="4" w:space="0"/>
              <w:right w:val="single" w:color="auto" w:sz="4" w:space="0"/>
            </w:tcBorders>
          </w:tcPr>
          <w:p w14:paraId="401A5606">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0-5分</w:t>
            </w:r>
          </w:p>
        </w:tc>
      </w:tr>
      <w:tr w14:paraId="51316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vMerge w:val="continue"/>
            <w:tcBorders>
              <w:left w:val="single" w:color="auto" w:sz="4" w:space="0"/>
              <w:right w:val="single" w:color="auto" w:sz="4" w:space="0"/>
            </w:tcBorders>
            <w:vAlign w:val="center"/>
          </w:tcPr>
          <w:p w14:paraId="116C960F">
            <w:pPr>
              <w:spacing w:line="360" w:lineRule="auto"/>
              <w:ind w:firstLine="480" w:firstLineChars="200"/>
              <w:rPr>
                <w:rFonts w:hint="eastAsia" w:asciiTheme="minorEastAsia" w:hAnsiTheme="minorEastAsia" w:eastAsiaTheme="minorEastAsia" w:cstheme="minorEastAsia"/>
                <w:sz w:val="24"/>
              </w:rPr>
            </w:pPr>
          </w:p>
        </w:tc>
        <w:tc>
          <w:tcPr>
            <w:tcW w:w="1739" w:type="dxa"/>
            <w:tcBorders>
              <w:top w:val="single" w:color="auto" w:sz="4" w:space="0"/>
              <w:left w:val="single" w:color="auto" w:sz="4" w:space="0"/>
              <w:bottom w:val="single" w:color="auto" w:sz="4" w:space="0"/>
              <w:right w:val="single" w:color="auto" w:sz="4" w:space="0"/>
            </w:tcBorders>
          </w:tcPr>
          <w:p w14:paraId="6826BE80">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施工方案 </w:t>
            </w:r>
          </w:p>
        </w:tc>
        <w:tc>
          <w:tcPr>
            <w:tcW w:w="3788" w:type="dxa"/>
            <w:tcBorders>
              <w:top w:val="single" w:color="auto" w:sz="4" w:space="0"/>
              <w:left w:val="single" w:color="auto" w:sz="4" w:space="0"/>
              <w:bottom w:val="single" w:color="auto" w:sz="4" w:space="0"/>
              <w:right w:val="single" w:color="auto" w:sz="4" w:space="0"/>
            </w:tcBorders>
          </w:tcPr>
          <w:p w14:paraId="2E8B4142">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须针对本项目编制详尽的安装施工组织方案，综合评分；应当包含进度计划、施工重难点、技术方案质量管理措施、安全保障措施、安装调试方案</w:t>
            </w:r>
          </w:p>
          <w:p w14:paraId="65DAF108">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（1）内容全面详尽、有针对性、重难点分析准确，各项方案操作性强，得 8-10分；</w:t>
            </w:r>
          </w:p>
          <w:p w14:paraId="60BCCE69">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（2）内容全面、有一定针对性、有重难点分析，各项方案操作性强，得 5-7分；</w:t>
            </w:r>
          </w:p>
          <w:p w14:paraId="5858FC11">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（3）内容较全面、基本符合要求，得 1-4（含）分；</w:t>
            </w:r>
          </w:p>
          <w:p w14:paraId="0AF159A3">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（4）差或未提供的得0分。</w:t>
            </w:r>
          </w:p>
        </w:tc>
        <w:tc>
          <w:tcPr>
            <w:tcW w:w="1596" w:type="dxa"/>
            <w:tcBorders>
              <w:top w:val="single" w:color="auto" w:sz="4" w:space="0"/>
              <w:left w:val="single" w:color="auto" w:sz="4" w:space="0"/>
              <w:bottom w:val="single" w:color="auto" w:sz="4" w:space="0"/>
              <w:right w:val="single" w:color="auto" w:sz="4" w:space="0"/>
            </w:tcBorders>
          </w:tcPr>
          <w:p w14:paraId="6A8BE6B7">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0-10分</w:t>
            </w:r>
          </w:p>
        </w:tc>
      </w:tr>
      <w:tr w14:paraId="75DA8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93" w:type="dxa"/>
            <w:vMerge w:val="continue"/>
            <w:tcBorders>
              <w:left w:val="single" w:color="auto" w:sz="4" w:space="0"/>
              <w:right w:val="single" w:color="auto" w:sz="4" w:space="0"/>
            </w:tcBorders>
            <w:vAlign w:val="center"/>
          </w:tcPr>
          <w:p w14:paraId="0AFAA05F">
            <w:pPr>
              <w:spacing w:line="360" w:lineRule="auto"/>
              <w:ind w:firstLine="480" w:firstLineChars="200"/>
              <w:rPr>
                <w:rFonts w:hint="eastAsia" w:asciiTheme="minorEastAsia" w:hAnsiTheme="minorEastAsia" w:eastAsiaTheme="minorEastAsia" w:cstheme="minorEastAsia"/>
                <w:sz w:val="24"/>
              </w:rPr>
            </w:pPr>
          </w:p>
        </w:tc>
        <w:tc>
          <w:tcPr>
            <w:tcW w:w="1739" w:type="dxa"/>
            <w:tcBorders>
              <w:top w:val="single" w:color="auto" w:sz="4" w:space="0"/>
              <w:left w:val="single" w:color="auto" w:sz="4" w:space="0"/>
              <w:right w:val="single" w:color="auto" w:sz="4" w:space="0"/>
            </w:tcBorders>
          </w:tcPr>
          <w:p w14:paraId="0CC859DD">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售后服务</w:t>
            </w:r>
          </w:p>
        </w:tc>
        <w:tc>
          <w:tcPr>
            <w:tcW w:w="3788" w:type="dxa"/>
            <w:tcBorders>
              <w:top w:val="single" w:color="auto" w:sz="4" w:space="0"/>
              <w:left w:val="single" w:color="auto" w:sz="4" w:space="0"/>
              <w:right w:val="single" w:color="auto" w:sz="4" w:space="0"/>
            </w:tcBorders>
          </w:tcPr>
          <w:p w14:paraId="0C7AD0B8">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在合肥有固定售后服务机构，或在合肥有固定办公场所及人员处理招标人售后问题的</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提供承诺及地址，格式自拟</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，得</w:t>
            </w:r>
            <w:r>
              <w:rPr>
                <w:rFonts w:hint="eastAsia" w:asciiTheme="minorEastAsia" w:hAnsiTheme="minorEastAsia" w:eastAsiaTheme="minorEastAsia" w:cstheme="minorEastAsia"/>
                <w:sz w:val="24"/>
              </w:rPr>
              <w:t>2分；</w:t>
            </w:r>
          </w:p>
          <w:p w14:paraId="751EFAE5">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2、售后服务响应：接到用户问题反馈，1小时内电话回应，2小时内给出解决方案，12小时内解决问题，提供承诺函得3分，不提供不得分。</w:t>
            </w:r>
          </w:p>
          <w:p w14:paraId="5602F071">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3、质保期为3年，承诺每增加一年加1分，满分3分。</w:t>
            </w:r>
          </w:p>
          <w:p w14:paraId="052FF461">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所投燃气灶具产品具有从2021年至今连续的</w:t>
            </w:r>
            <w:bookmarkStart w:id="1" w:name="_GoBack"/>
            <w:bookmarkEnd w:id="1"/>
            <w:r>
              <w:rPr>
                <w:rFonts w:hint="eastAsia" w:asciiTheme="minorEastAsia" w:hAnsiTheme="minorEastAsia" w:eastAsiaTheme="minorEastAsia" w:cstheme="minorEastAsia"/>
                <w:sz w:val="24"/>
              </w:rPr>
              <w:t>保险公司投保证明，且为有效期内，满足得2分；否则不得分。</w:t>
            </w:r>
          </w:p>
          <w:p w14:paraId="6466AF5F">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5、供应商承诺在质保期内，每半年点检所售设备的（如有非人为原因损坏，需及时维修），得1分。</w:t>
            </w:r>
          </w:p>
        </w:tc>
        <w:tc>
          <w:tcPr>
            <w:tcW w:w="1596" w:type="dxa"/>
            <w:tcBorders>
              <w:top w:val="single" w:color="auto" w:sz="4" w:space="0"/>
              <w:left w:val="single" w:color="auto" w:sz="4" w:space="0"/>
              <w:bottom w:val="single" w:color="auto" w:sz="4" w:space="0"/>
              <w:right w:val="single" w:color="auto" w:sz="4" w:space="0"/>
            </w:tcBorders>
          </w:tcPr>
          <w:p w14:paraId="5E7D68D3">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0-11分</w:t>
            </w:r>
          </w:p>
        </w:tc>
      </w:tr>
      <w:tr w14:paraId="5CFFB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tcBorders>
              <w:left w:val="single" w:color="auto" w:sz="4" w:space="0"/>
              <w:right w:val="single" w:color="auto" w:sz="4" w:space="0"/>
            </w:tcBorders>
            <w:vAlign w:val="center"/>
          </w:tcPr>
          <w:p w14:paraId="702BC092">
            <w:pPr>
              <w:spacing w:line="360" w:lineRule="auto"/>
              <w:ind w:firstLine="480" w:firstLineChars="200"/>
              <w:rPr>
                <w:rFonts w:hint="eastAsia" w:asciiTheme="minorEastAsia" w:hAnsiTheme="minorEastAsia" w:eastAsiaTheme="minorEastAsia" w:cstheme="minorEastAsia"/>
                <w:sz w:val="24"/>
              </w:rPr>
            </w:pPr>
          </w:p>
        </w:tc>
        <w:tc>
          <w:tcPr>
            <w:tcW w:w="1739" w:type="dxa"/>
            <w:tcBorders>
              <w:top w:val="single" w:color="auto" w:sz="4" w:space="0"/>
              <w:left w:val="single" w:color="auto" w:sz="4" w:space="0"/>
              <w:bottom w:val="single" w:color="auto" w:sz="4" w:space="0"/>
              <w:right w:val="single" w:color="auto" w:sz="4" w:space="0"/>
            </w:tcBorders>
          </w:tcPr>
          <w:p w14:paraId="1B82D9E2">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供应商资质</w:t>
            </w:r>
          </w:p>
        </w:tc>
        <w:tc>
          <w:tcPr>
            <w:tcW w:w="3788" w:type="dxa"/>
            <w:tcBorders>
              <w:top w:val="single" w:color="auto" w:sz="4" w:space="0"/>
              <w:left w:val="single" w:color="auto" w:sz="4" w:space="0"/>
              <w:bottom w:val="single" w:color="auto" w:sz="4" w:space="0"/>
              <w:right w:val="single" w:color="auto" w:sz="4" w:space="0"/>
            </w:tcBorders>
          </w:tcPr>
          <w:p w14:paraId="5F7ED346">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所提供的燃气灶具类、电器类、不锈钢柜台类产品，其生产厂商具有国家安全生产监督管理总局监制的安全生产标准化证书（机械或轻工）三级及以上证书的，每有一个得2分，满分6分。</w:t>
            </w:r>
          </w:p>
          <w:p w14:paraId="41BA56EC">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所提供的燃气灶具类、电器类产品，其生产厂商获得省级及以上高新技术企业证书的，每有一个得2分，满分4分。</w:t>
            </w:r>
          </w:p>
          <w:p w14:paraId="14043252">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响应文件中</w:t>
            </w:r>
            <w:r>
              <w:rPr>
                <w:rFonts w:hint="eastAsia" w:asciiTheme="minorEastAsia" w:hAnsiTheme="minorEastAsia" w:eastAsiaTheme="minorEastAsia" w:cstheme="minorEastAsia"/>
                <w:sz w:val="24"/>
              </w:rPr>
              <w:t>提供证明文件扫描件。</w:t>
            </w:r>
          </w:p>
        </w:tc>
        <w:tc>
          <w:tcPr>
            <w:tcW w:w="1596" w:type="dxa"/>
            <w:tcBorders>
              <w:top w:val="single" w:color="auto" w:sz="4" w:space="0"/>
              <w:left w:val="single" w:color="auto" w:sz="4" w:space="0"/>
              <w:bottom w:val="single" w:color="auto" w:sz="4" w:space="0"/>
              <w:right w:val="single" w:color="auto" w:sz="4" w:space="0"/>
            </w:tcBorders>
          </w:tcPr>
          <w:p w14:paraId="5CD9E74E">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0-10分</w:t>
            </w:r>
          </w:p>
        </w:tc>
      </w:tr>
      <w:tr w14:paraId="7A1C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tcBorders>
              <w:left w:val="single" w:color="auto" w:sz="4" w:space="0"/>
              <w:right w:val="single" w:color="auto" w:sz="4" w:space="0"/>
            </w:tcBorders>
            <w:vAlign w:val="center"/>
          </w:tcPr>
          <w:p w14:paraId="4F12F2B9">
            <w:pPr>
              <w:spacing w:line="360" w:lineRule="auto"/>
              <w:ind w:firstLine="480" w:firstLineChars="200"/>
              <w:rPr>
                <w:rFonts w:hint="eastAsia" w:asciiTheme="minorEastAsia" w:hAnsiTheme="minorEastAsia" w:eastAsiaTheme="minorEastAsia" w:cstheme="minorEastAsia"/>
                <w:sz w:val="24"/>
              </w:rPr>
            </w:pPr>
          </w:p>
        </w:tc>
        <w:tc>
          <w:tcPr>
            <w:tcW w:w="1739" w:type="dxa"/>
            <w:tcBorders>
              <w:top w:val="single" w:color="auto" w:sz="4" w:space="0"/>
              <w:left w:val="single" w:color="auto" w:sz="4" w:space="0"/>
              <w:bottom w:val="single" w:color="auto" w:sz="4" w:space="0"/>
              <w:right w:val="single" w:color="auto" w:sz="4" w:space="0"/>
            </w:tcBorders>
          </w:tcPr>
          <w:p w14:paraId="668F53B6">
            <w:pPr>
              <w:spacing w:line="360" w:lineRule="auto"/>
              <w:rPr>
                <w:rFonts w:hint="eastAsia" w:asciiTheme="minorEastAsia" w:hAnsiTheme="minorEastAsia" w:eastAsiaTheme="minorEastAsia" w:cstheme="minorEastAsia"/>
                <w:sz w:val="24"/>
              </w:rPr>
            </w:pPr>
          </w:p>
          <w:p w14:paraId="227F2543">
            <w:pPr>
              <w:spacing w:line="360" w:lineRule="auto"/>
              <w:rPr>
                <w:rFonts w:hint="eastAsia" w:asciiTheme="minorEastAsia" w:hAnsiTheme="minorEastAsia" w:eastAsiaTheme="minorEastAsia" w:cstheme="minorEastAsia"/>
                <w:sz w:val="24"/>
              </w:rPr>
            </w:pPr>
          </w:p>
          <w:p w14:paraId="294CB71D">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供应商业绩</w:t>
            </w:r>
          </w:p>
        </w:tc>
        <w:tc>
          <w:tcPr>
            <w:tcW w:w="3788" w:type="dxa"/>
            <w:tcBorders>
              <w:top w:val="single" w:color="auto" w:sz="4" w:space="0"/>
              <w:left w:val="single" w:color="auto" w:sz="4" w:space="0"/>
              <w:bottom w:val="single" w:color="auto" w:sz="4" w:space="0"/>
              <w:right w:val="single" w:color="auto" w:sz="4" w:space="0"/>
            </w:tcBorders>
            <w:vAlign w:val="center"/>
          </w:tcPr>
          <w:p w14:paraId="454960EE">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供应商2021年1月1日至本项目公告发布之日前（以合同签订时间为准）已完成的同类业绩，每提供一个得2分，满分10分。</w:t>
            </w:r>
          </w:p>
          <w:p w14:paraId="27E6BA91">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注：同一单位不同业绩可重复计分，开标时提供合同扫描件及业主验收证明文件扫描件供评标现场核查，合同或验收证明文件不完整的不得分。</w:t>
            </w:r>
          </w:p>
        </w:tc>
        <w:tc>
          <w:tcPr>
            <w:tcW w:w="1596" w:type="dxa"/>
            <w:tcBorders>
              <w:top w:val="single" w:color="auto" w:sz="4" w:space="0"/>
              <w:left w:val="single" w:color="auto" w:sz="4" w:space="0"/>
              <w:bottom w:val="single" w:color="auto" w:sz="4" w:space="0"/>
              <w:right w:val="single" w:color="auto" w:sz="4" w:space="0"/>
            </w:tcBorders>
          </w:tcPr>
          <w:p w14:paraId="6CB3B2DB">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0-10分</w:t>
            </w:r>
          </w:p>
        </w:tc>
      </w:tr>
      <w:tr w14:paraId="43FEE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tcBorders>
              <w:left w:val="single" w:color="auto" w:sz="4" w:space="0"/>
              <w:right w:val="single" w:color="auto" w:sz="4" w:space="0"/>
            </w:tcBorders>
            <w:vAlign w:val="center"/>
          </w:tcPr>
          <w:p w14:paraId="3C1ED4BE">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价格分</w:t>
            </w:r>
          </w:p>
          <w:p w14:paraId="3EF54407">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（30分）</w:t>
            </w:r>
          </w:p>
        </w:tc>
        <w:tc>
          <w:tcPr>
            <w:tcW w:w="7123" w:type="dxa"/>
            <w:gridSpan w:val="3"/>
            <w:tcBorders>
              <w:top w:val="single" w:color="auto" w:sz="4" w:space="0"/>
              <w:left w:val="single" w:color="auto" w:sz="4" w:space="0"/>
              <w:bottom w:val="single" w:color="auto" w:sz="4" w:space="0"/>
              <w:right w:val="single" w:color="auto" w:sz="4" w:space="0"/>
            </w:tcBorders>
            <w:vAlign w:val="center"/>
          </w:tcPr>
          <w:p w14:paraId="21BF14AA">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价格分统一采用低价优先法，即满足磋商文件要求且价格最低的最后报价为磋商基准价，其价格分为满分30分。其他供应商的价格分统一按照下列公式计算：</w:t>
            </w:r>
          </w:p>
          <w:p w14:paraId="6BA36362">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磋商报价得分＝（磋商基准价/最后报价）×30％×100</w:t>
            </w:r>
          </w:p>
        </w:tc>
      </w:tr>
    </w:tbl>
    <w:p w14:paraId="1445FC4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2D2F34"/>
    <w:rsid w:val="17BF5072"/>
    <w:rsid w:val="1D381D4A"/>
    <w:rsid w:val="300F6EEB"/>
    <w:rsid w:val="7B2D2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1563</Words>
  <Characters>1652</Characters>
  <Lines>0</Lines>
  <Paragraphs>0</Paragraphs>
  <TotalTime>3</TotalTime>
  <ScaleCrop>false</ScaleCrop>
  <LinksUpToDate>false</LinksUpToDate>
  <CharactersWithSpaces>1663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2025-07-09T08:01:00Z</dcterms:created>
  <dc:creator>卫斯理</dc:creator>
  <cp:lastModifiedBy>cz</cp:lastModifiedBy>
  <dcterms:modified xsi:type="dcterms:W3CDTF">2025-07-09T08:30:30Z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6308357CE040438D936C4C45F16DA7D7_11</vt:lpwstr>
  </property>
  <property fmtid="{D5CDD505-2E9C-101B-9397-08002B2CF9AE}" pid="4" name="KSOTemplateDocerSaveRecord">
    <vt:lpwstr>eyJoZGlkIjoiMzEwNTM5NzYwMDRjMzkwZTVkZjY2ODkwMGIxNGU0OTUiLCJ1c2VySWQiOiIyNTM1OTI4ODYifQ==</vt:lpwstr>
  </property>
</Properties>
</file>