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92267">
      <w:pPr>
        <w:jc w:val="center"/>
        <w:rPr>
          <w:rFonts w:hint="eastAsia"/>
          <w:b w:val="0"/>
          <w:bCs w:val="0"/>
          <w:sz w:val="32"/>
          <w:szCs w:val="21"/>
          <w:u w:val="none"/>
          <w:lang w:val="en-US" w:eastAsia="zh-CN"/>
        </w:rPr>
      </w:pPr>
      <w:r>
        <w:rPr>
          <w:rFonts w:hint="eastAsia"/>
          <w:b w:val="0"/>
          <w:bCs w:val="0"/>
          <w:sz w:val="32"/>
          <w:szCs w:val="21"/>
          <w:u w:val="none"/>
        </w:rPr>
        <w:t>合肥海关屯溪路综合实验楼空调系统改造</w:t>
      </w:r>
      <w:r>
        <w:rPr>
          <w:rFonts w:hint="eastAsia"/>
          <w:b w:val="0"/>
          <w:bCs w:val="0"/>
          <w:sz w:val="32"/>
          <w:szCs w:val="21"/>
          <w:u w:val="none"/>
          <w:lang w:eastAsia="zh-CN"/>
        </w:rPr>
        <w:t>（</w:t>
      </w:r>
      <w:r>
        <w:rPr>
          <w:rFonts w:hint="eastAsia"/>
          <w:b w:val="0"/>
          <w:bCs w:val="0"/>
          <w:sz w:val="32"/>
          <w:szCs w:val="21"/>
          <w:u w:val="none"/>
          <w:lang w:val="en-US" w:eastAsia="zh-CN"/>
        </w:rPr>
        <w:t>二次</w:t>
      </w:r>
      <w:r>
        <w:rPr>
          <w:rFonts w:hint="eastAsia"/>
          <w:b w:val="0"/>
          <w:bCs w:val="0"/>
          <w:sz w:val="32"/>
          <w:szCs w:val="21"/>
          <w:u w:val="none"/>
          <w:lang w:eastAsia="zh-CN"/>
        </w:rPr>
        <w:t>）</w:t>
      </w:r>
      <w:r>
        <w:rPr>
          <w:rFonts w:hint="eastAsia"/>
          <w:b w:val="0"/>
          <w:bCs w:val="0"/>
          <w:sz w:val="32"/>
          <w:szCs w:val="21"/>
          <w:u w:val="none"/>
          <w:lang w:val="en-US" w:eastAsia="zh-CN"/>
        </w:rPr>
        <w:t>采购需求</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4CD1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978AD83">
            <w:pPr>
              <w:spacing w:line="360" w:lineRule="auto"/>
              <w:jc w:val="center"/>
              <w:rPr>
                <w:rFonts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序号</w:t>
            </w:r>
          </w:p>
        </w:tc>
        <w:tc>
          <w:tcPr>
            <w:tcW w:w="749" w:type="pct"/>
            <w:vAlign w:val="center"/>
          </w:tcPr>
          <w:p w14:paraId="3F59698A">
            <w:pPr>
              <w:spacing w:line="360" w:lineRule="auto"/>
              <w:jc w:val="center"/>
              <w:rPr>
                <w:rFonts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内容</w:t>
            </w:r>
          </w:p>
        </w:tc>
        <w:tc>
          <w:tcPr>
            <w:tcW w:w="3688" w:type="pct"/>
            <w:vAlign w:val="center"/>
          </w:tcPr>
          <w:p w14:paraId="64BC3BEE">
            <w:pPr>
              <w:spacing w:line="360" w:lineRule="auto"/>
              <w:ind w:firstLine="435"/>
              <w:jc w:val="center"/>
              <w:rPr>
                <w:rFonts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说明和要求</w:t>
            </w:r>
          </w:p>
        </w:tc>
      </w:tr>
      <w:tr w14:paraId="22E7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E39ADFE">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w:t>
            </w:r>
          </w:p>
        </w:tc>
        <w:tc>
          <w:tcPr>
            <w:tcW w:w="749" w:type="pct"/>
            <w:vAlign w:val="center"/>
          </w:tcPr>
          <w:p w14:paraId="11935946">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人员到岗及履约要求</w:t>
            </w:r>
          </w:p>
        </w:tc>
        <w:tc>
          <w:tcPr>
            <w:tcW w:w="3688" w:type="pct"/>
            <w:vAlign w:val="center"/>
          </w:tcPr>
          <w:p w14:paraId="667D1739">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6068C89F">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1FBE710D">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588C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BD0BA72">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2</w:t>
            </w:r>
          </w:p>
        </w:tc>
        <w:tc>
          <w:tcPr>
            <w:tcW w:w="749" w:type="pct"/>
            <w:vAlign w:val="center"/>
          </w:tcPr>
          <w:p w14:paraId="4E68A1B3">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材料要求</w:t>
            </w:r>
          </w:p>
        </w:tc>
        <w:tc>
          <w:tcPr>
            <w:tcW w:w="3688" w:type="pct"/>
            <w:vAlign w:val="center"/>
          </w:tcPr>
          <w:p w14:paraId="1C45321B">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2318749E">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2）如本项目采购人对工程质量有特殊需求的，对主要设备及材料提供不少于三个的参考品牌，对于采购人参考品牌的材料，供应商可选用参考品牌或不低于参考品牌质量标准的其它品牌；采用其它品牌的应在响应文件中提供相关技术参数证明材料供磋商小组评审，未提供相关技术参数证明材料或经磋商小组评审未通过的，成交后只能从采购人参考品牌中进行选择，价格不予调整。</w:t>
            </w:r>
          </w:p>
          <w:p w14:paraId="60989E14">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（3）对于采购人参考品牌的材料，供应商如认为参考品牌有限定性、唯一性、明显不在同一档次等级的或者其他异议的，应在本项目网上询问截止时间前通过电子交易系统提交。</w:t>
            </w:r>
          </w:p>
        </w:tc>
      </w:tr>
      <w:tr w14:paraId="4BAB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45F45E7">
            <w:pPr>
              <w:spacing w:line="360" w:lineRule="auto"/>
              <w:jc w:val="center"/>
              <w:rPr>
                <w:rFonts w:cs="@仿宋_GB2312" w:asciiTheme="minorEastAsia" w:hAnsiTheme="minorEastAsia" w:eastAsiaTheme="minorEastAsia"/>
                <w:b/>
                <w:bCs/>
                <w:kern w:val="2"/>
                <w:sz w:val="24"/>
                <w:szCs w:val="22"/>
                <w:highlight w:val="none"/>
              </w:rPr>
            </w:pPr>
            <w:r>
              <w:rPr>
                <w:rFonts w:hint="eastAsia" w:cs="@仿宋_GB2312" w:asciiTheme="minorEastAsia" w:hAnsiTheme="minorEastAsia" w:eastAsiaTheme="minorEastAsia"/>
                <w:b/>
                <w:bCs/>
                <w:kern w:val="2"/>
                <w:sz w:val="24"/>
                <w:szCs w:val="22"/>
                <w:highlight w:val="none"/>
              </w:rPr>
              <w:t>3</w:t>
            </w:r>
          </w:p>
        </w:tc>
        <w:tc>
          <w:tcPr>
            <w:tcW w:w="749" w:type="pct"/>
            <w:vAlign w:val="center"/>
          </w:tcPr>
          <w:p w14:paraId="2848A5E7">
            <w:pPr>
              <w:spacing w:line="360" w:lineRule="auto"/>
              <w:rPr>
                <w:rFonts w:cs="@仿宋_GB2312" w:asciiTheme="minorEastAsia" w:hAnsiTheme="minorEastAsia" w:eastAsiaTheme="minorEastAsia"/>
                <w:b/>
                <w:bCs/>
                <w:kern w:val="2"/>
                <w:sz w:val="24"/>
                <w:szCs w:val="22"/>
                <w:highlight w:val="none"/>
              </w:rPr>
            </w:pPr>
            <w:r>
              <w:rPr>
                <w:rFonts w:hint="eastAsia" w:cs="@仿宋_GB2312" w:asciiTheme="minorEastAsia" w:hAnsiTheme="minorEastAsia" w:eastAsiaTheme="minorEastAsia"/>
                <w:b/>
                <w:bCs/>
                <w:kern w:val="2"/>
                <w:sz w:val="24"/>
                <w:szCs w:val="22"/>
                <w:highlight w:val="none"/>
              </w:rPr>
              <w:t>工程施工重点难点</w:t>
            </w:r>
          </w:p>
        </w:tc>
        <w:tc>
          <w:tcPr>
            <w:tcW w:w="3688" w:type="pct"/>
            <w:vAlign w:val="center"/>
          </w:tcPr>
          <w:p w14:paraId="397455F4">
            <w:pPr>
              <w:spacing w:line="360" w:lineRule="auto"/>
              <w:rPr>
                <w:rFonts w:cs="@仿宋_GB2312" w:asciiTheme="minorEastAsia" w:hAnsiTheme="minorEastAsia" w:eastAsiaTheme="minorEastAsia"/>
                <w:b/>
                <w:bCs/>
                <w:kern w:val="2"/>
                <w:sz w:val="24"/>
                <w:szCs w:val="22"/>
                <w:highlight w:val="none"/>
              </w:rPr>
            </w:pPr>
            <w:r>
              <w:rPr>
                <w:rFonts w:hint="eastAsia" w:cs="@仿宋_GB2312" w:asciiTheme="minorEastAsia" w:hAnsiTheme="minorEastAsia" w:eastAsiaTheme="minorEastAsia"/>
                <w:b/>
                <w:bCs/>
                <w:kern w:val="2"/>
                <w:sz w:val="24"/>
                <w:szCs w:val="22"/>
                <w:highlight w:val="none"/>
              </w:rPr>
              <w:t>本项目属于修缮工程，主要有以下几个重点、难点：</w:t>
            </w:r>
          </w:p>
          <w:p w14:paraId="0499F8DE">
            <w:pPr>
              <w:spacing w:line="360" w:lineRule="auto"/>
              <w:rPr>
                <w:rFonts w:hint="default" w:cs="@仿宋_GB2312" w:asciiTheme="minorEastAsia" w:hAnsiTheme="minorEastAsia" w:eastAsiaTheme="minorEastAsia"/>
                <w:b/>
                <w:bCs/>
                <w:kern w:val="2"/>
                <w:sz w:val="24"/>
                <w:szCs w:val="22"/>
                <w:highlight w:val="none"/>
                <w:lang w:val="en-US" w:eastAsia="zh-CN"/>
              </w:rPr>
            </w:pPr>
            <w:r>
              <w:rPr>
                <w:rFonts w:hint="eastAsia" w:cs="@仿宋_GB2312" w:asciiTheme="minorEastAsia" w:hAnsiTheme="minorEastAsia" w:eastAsiaTheme="minorEastAsia"/>
                <w:b/>
                <w:bCs/>
                <w:kern w:val="2"/>
                <w:sz w:val="24"/>
                <w:szCs w:val="22"/>
                <w:highlight w:val="none"/>
              </w:rPr>
              <w:t>（1）分层施工，不能影响其他楼层正常办公</w:t>
            </w:r>
            <w:r>
              <w:rPr>
                <w:rFonts w:hint="eastAsia" w:cs="@仿宋_GB2312" w:asciiTheme="minorEastAsia" w:hAnsiTheme="minorEastAsia" w:eastAsiaTheme="minorEastAsia"/>
                <w:b/>
                <w:bCs/>
                <w:kern w:val="2"/>
                <w:sz w:val="24"/>
                <w:szCs w:val="22"/>
                <w:highlight w:val="none"/>
                <w:lang w:val="en-US" w:eastAsia="zh-CN"/>
              </w:rPr>
              <w:t>及日常检验工作</w:t>
            </w:r>
            <w:r>
              <w:rPr>
                <w:rFonts w:hint="eastAsia" w:cs="@仿宋_GB2312" w:asciiTheme="minorEastAsia" w:hAnsiTheme="minorEastAsia" w:eastAsiaTheme="minorEastAsia"/>
                <w:b/>
                <w:bCs/>
                <w:kern w:val="2"/>
                <w:sz w:val="24"/>
                <w:szCs w:val="22"/>
                <w:highlight w:val="none"/>
                <w:lang w:eastAsia="zh-CN"/>
              </w:rPr>
              <w:t>；</w:t>
            </w:r>
            <w:r>
              <w:rPr>
                <w:rFonts w:hint="eastAsia" w:cs="@仿宋_GB2312" w:asciiTheme="minorEastAsia" w:hAnsiTheme="minorEastAsia" w:eastAsiaTheme="minorEastAsia"/>
                <w:b/>
                <w:bCs/>
                <w:kern w:val="2"/>
                <w:sz w:val="24"/>
                <w:szCs w:val="22"/>
                <w:highlight w:val="none"/>
              </w:rPr>
              <w:t>施工安排与实验室充分协调沟通，减少对正常检验工作的影响</w:t>
            </w:r>
            <w:r>
              <w:rPr>
                <w:rFonts w:hint="eastAsia" w:cs="@仿宋_GB2312" w:asciiTheme="minorEastAsia" w:hAnsiTheme="minorEastAsia" w:eastAsiaTheme="minorEastAsia"/>
                <w:b/>
                <w:bCs/>
                <w:kern w:val="2"/>
                <w:sz w:val="24"/>
                <w:szCs w:val="22"/>
                <w:highlight w:val="none"/>
                <w:lang w:eastAsia="zh-CN"/>
              </w:rPr>
              <w:t>；</w:t>
            </w:r>
            <w:r>
              <w:rPr>
                <w:rFonts w:hint="eastAsia" w:cs="@仿宋_GB2312" w:asciiTheme="minorEastAsia" w:hAnsiTheme="minorEastAsia" w:eastAsiaTheme="minorEastAsia"/>
                <w:b/>
                <w:bCs/>
                <w:kern w:val="2"/>
                <w:sz w:val="24"/>
                <w:szCs w:val="22"/>
                <w:highlight w:val="none"/>
                <w:lang w:val="en-US" w:eastAsia="zh-CN"/>
              </w:rPr>
              <w:t>施工现场每日须做好卫生保洁，保障办公和实验室区域的环境；</w:t>
            </w:r>
          </w:p>
          <w:p w14:paraId="00A6BBFB">
            <w:pPr>
              <w:spacing w:line="360" w:lineRule="auto"/>
              <w:rPr>
                <w:rFonts w:cs="@仿宋_GB2312" w:asciiTheme="minorEastAsia" w:hAnsiTheme="minorEastAsia" w:eastAsiaTheme="minorEastAsia"/>
                <w:b/>
                <w:bCs/>
                <w:kern w:val="2"/>
                <w:sz w:val="24"/>
                <w:szCs w:val="22"/>
                <w:highlight w:val="none"/>
              </w:rPr>
            </w:pPr>
            <w:r>
              <w:rPr>
                <w:rFonts w:hint="eastAsia" w:cs="@仿宋_GB2312" w:asciiTheme="minorEastAsia" w:hAnsiTheme="minorEastAsia" w:eastAsiaTheme="minorEastAsia"/>
                <w:b/>
                <w:bCs/>
                <w:kern w:val="2"/>
                <w:sz w:val="24"/>
                <w:szCs w:val="22"/>
                <w:highlight w:val="none"/>
              </w:rPr>
              <w:t>（2）实验室内设备的保护；</w:t>
            </w:r>
          </w:p>
          <w:p w14:paraId="20A0D370">
            <w:pPr>
              <w:spacing w:line="360" w:lineRule="auto"/>
              <w:rPr>
                <w:rFonts w:cs="@仿宋_GB2312" w:asciiTheme="minorEastAsia" w:hAnsiTheme="minorEastAsia" w:eastAsiaTheme="minorEastAsia"/>
                <w:b/>
                <w:bCs/>
                <w:kern w:val="2"/>
                <w:sz w:val="24"/>
                <w:szCs w:val="22"/>
                <w:highlight w:val="none"/>
              </w:rPr>
            </w:pPr>
            <w:r>
              <w:rPr>
                <w:rFonts w:hint="eastAsia" w:cs="@仿宋_GB2312" w:asciiTheme="minorEastAsia" w:hAnsiTheme="minorEastAsia" w:eastAsiaTheme="minorEastAsia"/>
                <w:b/>
                <w:bCs/>
                <w:kern w:val="2"/>
                <w:sz w:val="24"/>
                <w:szCs w:val="22"/>
                <w:highlight w:val="none"/>
              </w:rPr>
              <w:t>（3）原中央空调设备的拆除。</w:t>
            </w:r>
          </w:p>
        </w:tc>
      </w:tr>
      <w:tr w14:paraId="4AC1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A3DFE8C">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4</w:t>
            </w:r>
          </w:p>
        </w:tc>
        <w:tc>
          <w:tcPr>
            <w:tcW w:w="749" w:type="pct"/>
            <w:vAlign w:val="center"/>
          </w:tcPr>
          <w:p w14:paraId="1E1D5139">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报价须知</w:t>
            </w:r>
          </w:p>
        </w:tc>
        <w:tc>
          <w:tcPr>
            <w:tcW w:w="3688" w:type="pct"/>
            <w:vAlign w:val="center"/>
          </w:tcPr>
          <w:p w14:paraId="58FC0C4A">
            <w:pPr>
              <w:spacing w:line="360" w:lineRule="auto"/>
              <w:rPr>
                <w:rFonts w:eastAsia="@微软简标宋"/>
                <w:kern w:val="2"/>
                <w:sz w:val="21"/>
                <w:szCs w:val="22"/>
              </w:rPr>
            </w:pPr>
            <w:r>
              <w:rPr>
                <w:rFonts w:hint="eastAsia" w:cs="@仿宋_GB2312" w:asciiTheme="minorEastAsia" w:hAnsiTheme="minorEastAsia" w:eastAsiaTheme="minorEastAsia"/>
                <w:kern w:val="2"/>
                <w:sz w:val="24"/>
                <w:szCs w:val="22"/>
              </w:rPr>
              <w:t>供应商最后报价均不得高于磋商文件（公告）列明的项目预算、最高投标限价，否则其响应文件将被认定为响应无效。</w:t>
            </w:r>
          </w:p>
        </w:tc>
      </w:tr>
      <w:tr w14:paraId="0FB9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BBD79BE">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5</w:t>
            </w:r>
          </w:p>
        </w:tc>
        <w:tc>
          <w:tcPr>
            <w:tcW w:w="749" w:type="pct"/>
            <w:vAlign w:val="center"/>
          </w:tcPr>
          <w:p w14:paraId="788E3355">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重要说明</w:t>
            </w:r>
          </w:p>
        </w:tc>
        <w:tc>
          <w:tcPr>
            <w:tcW w:w="3688" w:type="pct"/>
            <w:vAlign w:val="center"/>
          </w:tcPr>
          <w:p w14:paraId="3FD28A3D">
            <w:pPr>
              <w:spacing w:line="360" w:lineRule="auto"/>
              <w:rPr>
                <w:rFonts w:eastAsiaTheme="minorEastAsia"/>
                <w:kern w:val="2"/>
                <w:sz w:val="24"/>
                <w:szCs w:val="18"/>
              </w:rPr>
            </w:pPr>
            <w:r>
              <w:rPr>
                <w:rFonts w:hint="eastAsia" w:cs="宋体" w:eastAsiaTheme="minorEastAsia"/>
                <w:kern w:val="2"/>
                <w:sz w:val="24"/>
                <w:szCs w:val="24"/>
              </w:rPr>
              <w:t>1、</w:t>
            </w:r>
            <w:r>
              <w:rPr>
                <w:rFonts w:cs="宋体" w:eastAsiaTheme="minorEastAsia"/>
                <w:kern w:val="2"/>
                <w:sz w:val="24"/>
                <w:szCs w:val="24"/>
              </w:rPr>
              <w:t>政府采购政策（包括但不限于下列具体政策要求</w:t>
            </w:r>
            <w:r>
              <w:rPr>
                <w:rFonts w:hint="eastAsia" w:cs="宋体" w:eastAsiaTheme="minorEastAsia"/>
                <w:kern w:val="2"/>
                <w:sz w:val="24"/>
                <w:szCs w:val="24"/>
              </w:rPr>
              <w:t>）</w:t>
            </w:r>
            <w:r>
              <w:rPr>
                <w:rFonts w:hint="eastAsia" w:eastAsiaTheme="minorEastAsia"/>
                <w:kern w:val="2"/>
                <w:sz w:val="24"/>
                <w:szCs w:val="18"/>
              </w:rPr>
              <w:t>：</w:t>
            </w:r>
          </w:p>
          <w:p w14:paraId="389F1F75">
            <w:pPr>
              <w:spacing w:line="360" w:lineRule="auto"/>
              <w:rPr>
                <w:rFonts w:cs="宋体" w:eastAsiaTheme="minorEastAsia"/>
                <w:kern w:val="2"/>
                <w:sz w:val="24"/>
                <w:szCs w:val="24"/>
              </w:rPr>
            </w:pPr>
            <w:r>
              <w:rPr>
                <w:rFonts w:hint="eastAsia" w:cs="宋体" w:eastAsiaTheme="minorEastAsia"/>
                <w:b/>
                <w:bCs/>
                <w:kern w:val="2"/>
                <w:sz w:val="24"/>
                <w:szCs w:val="24"/>
              </w:rPr>
              <w:t>（1）如属于《节能产品政府采购品目清单》（多联式空调（热泵）机组 (制冷量&gt;14000W)）中政府强制采购的节能产品，则</w:t>
            </w:r>
            <w:r>
              <w:rPr>
                <w:rFonts w:hint="eastAsia" w:cs="宋体" w:eastAsiaTheme="minorEastAsia"/>
                <w:b/>
                <w:bCs/>
                <w:kern w:val="2"/>
                <w:sz w:val="24"/>
                <w:szCs w:val="24"/>
                <w:lang w:val="en-US" w:eastAsia="zh-CN"/>
              </w:rPr>
              <w:t>供应商</w:t>
            </w:r>
            <w:r>
              <w:rPr>
                <w:rFonts w:hint="eastAsia" w:cs="宋体" w:eastAsiaTheme="minorEastAsia"/>
                <w:b/>
                <w:bCs/>
                <w:kern w:val="2"/>
                <w:sz w:val="24"/>
                <w:szCs w:val="24"/>
              </w:rPr>
              <w:t>所投产品须具有市场监管总局公布的《参与实施政府采购节能产品认证机构目录》中的认证机构出具的、处于有效期内的节能产品认证证书。</w:t>
            </w:r>
          </w:p>
          <w:p w14:paraId="1AC13261">
            <w:pPr>
              <w:spacing w:line="360" w:lineRule="auto"/>
              <w:rPr>
                <w:rFonts w:cs="宋体" w:eastAsiaTheme="minorEastAsia"/>
                <w:kern w:val="2"/>
                <w:sz w:val="24"/>
                <w:szCs w:val="24"/>
              </w:rPr>
            </w:pPr>
            <w:r>
              <w:rPr>
                <w:rFonts w:hint="eastAsia" w:cs="宋体" w:eastAsiaTheme="minorEastAsia"/>
                <w:kern w:val="2"/>
                <w:sz w:val="24"/>
                <w:szCs w:val="24"/>
              </w:rPr>
              <w:t>（2）如涉及商品包装和快递包装，</w:t>
            </w:r>
            <w:r>
              <w:rPr>
                <w:rFonts w:hint="eastAsia" w:cs="宋体" w:eastAsiaTheme="minorEastAsia"/>
                <w:kern w:val="2"/>
                <w:sz w:val="24"/>
                <w:szCs w:val="24"/>
                <w:lang w:val="en-US" w:eastAsia="zh-CN"/>
              </w:rPr>
              <w:t>供应商</w:t>
            </w:r>
            <w:r>
              <w:rPr>
                <w:rFonts w:hint="eastAsia" w:cs="宋体" w:eastAsiaTheme="minorEastAsia"/>
                <w:kern w:val="2"/>
                <w:sz w:val="24"/>
                <w:szCs w:val="24"/>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8191152">
            <w:pPr>
              <w:spacing w:line="360" w:lineRule="auto"/>
              <w:rPr>
                <w:rFonts w:cs="宋体" w:eastAsiaTheme="minorEastAsia"/>
                <w:kern w:val="2"/>
                <w:sz w:val="24"/>
                <w:szCs w:val="24"/>
                <w:u w:val="none"/>
              </w:rPr>
            </w:pPr>
            <w:r>
              <w:rPr>
                <w:rFonts w:hint="eastAsia" w:cs="宋体" w:eastAsiaTheme="minorEastAsia"/>
                <w:kern w:val="2"/>
                <w:sz w:val="24"/>
                <w:szCs w:val="24"/>
              </w:rPr>
              <w:t>2、</w:t>
            </w:r>
            <w:r>
              <w:rPr>
                <w:rFonts w:hint="eastAsia" w:cs="宋体" w:eastAsiaTheme="minorEastAsia"/>
                <w:kern w:val="2"/>
                <w:sz w:val="24"/>
                <w:szCs w:val="24"/>
                <w:u w:val="none"/>
              </w:rPr>
              <w:t>本项目的磋商文件、工程量清单、最高投标限价（控制价）、澄清、修改、补充等相关资料均通过电子交易系统发布，请供应商自行从网上下载，供应商应当及时查看有无相关澄清、修改、补充等内容。</w:t>
            </w:r>
          </w:p>
          <w:p w14:paraId="2FB8E909">
            <w:pPr>
              <w:spacing w:line="360" w:lineRule="auto"/>
              <w:rPr>
                <w:rFonts w:cs="宋体" w:eastAsiaTheme="minorEastAsia"/>
                <w:kern w:val="2"/>
                <w:sz w:val="24"/>
                <w:szCs w:val="24"/>
                <w:u w:val="none"/>
              </w:rPr>
            </w:pPr>
            <w:r>
              <w:rPr>
                <w:rFonts w:hint="eastAsia" w:cs="宋体" w:eastAsiaTheme="minorEastAsia"/>
                <w:kern w:val="2"/>
                <w:sz w:val="24"/>
                <w:szCs w:val="24"/>
                <w:u w:val="none"/>
              </w:rPr>
              <w:t>3、在工程项目磋商过程中，供应商最后报价与公布的最高投标限价（控制价）或项目概算相比降幅过小，或供应商最后报价明显缺乏竞争性的，磋商小组可以否决其报价。</w:t>
            </w:r>
          </w:p>
          <w:p w14:paraId="2838E2EB">
            <w:pPr>
              <w:spacing w:line="360" w:lineRule="auto"/>
              <w:rPr>
                <w:rFonts w:cs="宋体" w:eastAsiaTheme="minorEastAsia"/>
                <w:kern w:val="2"/>
                <w:sz w:val="24"/>
                <w:szCs w:val="24"/>
                <w:u w:val="none"/>
              </w:rPr>
            </w:pPr>
            <w:r>
              <w:rPr>
                <w:rFonts w:hint="eastAsia" w:cs="宋体" w:eastAsiaTheme="minorEastAsia"/>
                <w:kern w:val="2"/>
                <w:sz w:val="24"/>
                <w:szCs w:val="24"/>
                <w:u w:val="none"/>
              </w:rPr>
              <w:t>4、外地建安企业磋商并成交后必须在项目所在地交纳相关税费。</w:t>
            </w:r>
          </w:p>
          <w:p w14:paraId="2AEEEE6C">
            <w:pPr>
              <w:spacing w:line="360" w:lineRule="auto"/>
              <w:rPr>
                <w:rFonts w:cs="宋体" w:eastAsiaTheme="minorEastAsia"/>
                <w:kern w:val="2"/>
                <w:sz w:val="24"/>
                <w:szCs w:val="24"/>
                <w:u w:val="none"/>
              </w:rPr>
            </w:pPr>
            <w:r>
              <w:rPr>
                <w:rFonts w:hint="eastAsia" w:cs="宋体" w:eastAsiaTheme="minorEastAsia"/>
                <w:kern w:val="2"/>
                <w:sz w:val="24"/>
                <w:szCs w:val="24"/>
                <w:u w:val="none"/>
              </w:rPr>
              <w:t>5、承包人在工程实施过程中用工行为，必须严格执行国家及地方政府的有关规定，依法签订劳动合同，并按规定及时足额支付工资。</w:t>
            </w:r>
          </w:p>
          <w:p w14:paraId="5FA7F889">
            <w:pPr>
              <w:spacing w:line="360" w:lineRule="auto"/>
              <w:rPr>
                <w:rFonts w:cs="@仿宋_GB2312" w:asciiTheme="minorEastAsia" w:hAnsiTheme="minorEastAsia" w:eastAsiaTheme="minorEastAsia"/>
                <w:kern w:val="2"/>
                <w:sz w:val="24"/>
                <w:szCs w:val="22"/>
              </w:rPr>
            </w:pPr>
            <w:r>
              <w:rPr>
                <w:rFonts w:hint="eastAsia" w:cs="宋体" w:eastAsiaTheme="minorEastAsia"/>
                <w:kern w:val="2"/>
                <w:sz w:val="24"/>
                <w:szCs w:val="24"/>
                <w:u w:val="none"/>
              </w:rPr>
              <w:t>6、建设工程不可竞争费构成及计费标准按《关于调整合肥市建设工程不可竞争费构成及计费标准的通知》（合造价〔2021〕5号）执行，本工程最高投标限价（控制价）已按按规定的措施项目、费率和单价列出招标工程施工扬尘污染防治费用和建筑工人实名制管理费用清单，供应商应承诺报价中已包含磋商文件公布的施工扬尘污染防治费用和建筑工人实名制管理费用。工程竣工结算时，未落实的施工扬尘污染防治和建筑工人实名制管理措施项目, 应按清单所列金额从工程结算价款中扣除。</w:t>
            </w:r>
          </w:p>
        </w:tc>
      </w:tr>
      <w:tr w14:paraId="19E2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0AC0B9D">
            <w:pPr>
              <w:spacing w:line="360" w:lineRule="auto"/>
              <w:jc w:val="center"/>
              <w:rPr>
                <w:rFonts w:cs="@仿宋_GB2312" w:asciiTheme="minorEastAsia" w:hAnsiTheme="minorEastAsia" w:eastAsiaTheme="minorEastAsia"/>
                <w:kern w:val="2"/>
                <w:sz w:val="24"/>
                <w:szCs w:val="22"/>
                <w:highlight w:val="none"/>
              </w:rPr>
            </w:pPr>
            <w:r>
              <w:rPr>
                <w:rFonts w:hint="eastAsia" w:cs="@仿宋_GB2312" w:eastAsiaTheme="minorEastAsia"/>
                <w:b/>
                <w:bCs/>
                <w:kern w:val="2"/>
                <w:sz w:val="24"/>
                <w:szCs w:val="22"/>
                <w:highlight w:val="none"/>
              </w:rPr>
              <w:t>6</w:t>
            </w:r>
          </w:p>
        </w:tc>
        <w:tc>
          <w:tcPr>
            <w:tcW w:w="749" w:type="pct"/>
            <w:vAlign w:val="center"/>
          </w:tcPr>
          <w:p w14:paraId="7CB7F7CD">
            <w:pPr>
              <w:spacing w:line="360" w:lineRule="auto"/>
              <w:rPr>
                <w:rFonts w:cs="@仿宋_GB2312" w:asciiTheme="minorEastAsia" w:hAnsiTheme="minorEastAsia" w:eastAsiaTheme="minorEastAsia"/>
                <w:kern w:val="2"/>
                <w:sz w:val="24"/>
                <w:szCs w:val="22"/>
                <w:highlight w:val="none"/>
              </w:rPr>
            </w:pPr>
            <w:r>
              <w:rPr>
                <w:rFonts w:hint="eastAsia" w:cs="@仿宋_GB2312" w:eastAsiaTheme="minorEastAsia"/>
                <w:b/>
                <w:bCs/>
                <w:kern w:val="2"/>
                <w:sz w:val="24"/>
                <w:szCs w:val="22"/>
                <w:highlight w:val="none"/>
              </w:rPr>
              <w:t>付款方式</w:t>
            </w:r>
          </w:p>
        </w:tc>
        <w:tc>
          <w:tcPr>
            <w:tcW w:w="3688" w:type="pct"/>
            <w:vAlign w:val="center"/>
          </w:tcPr>
          <w:p w14:paraId="64272A5F">
            <w:pPr>
              <w:spacing w:line="360" w:lineRule="auto"/>
              <w:rPr>
                <w:rFonts w:cs="@仿宋_GB2312" w:eastAsiaTheme="minorEastAsia"/>
                <w:b/>
                <w:bCs/>
                <w:kern w:val="2"/>
                <w:sz w:val="24"/>
                <w:szCs w:val="22"/>
                <w:highlight w:val="none"/>
              </w:rPr>
            </w:pPr>
            <w:r>
              <w:rPr>
                <w:rFonts w:hint="eastAsia" w:cs="@仿宋_GB2312" w:eastAsiaTheme="minorEastAsia"/>
                <w:b/>
                <w:bCs/>
                <w:kern w:val="2"/>
                <w:sz w:val="24"/>
                <w:szCs w:val="22"/>
                <w:highlight w:val="none"/>
              </w:rPr>
              <w:t>合同签订后采购人预支付合同价款的30%；全部空调设备进场并经发包人（采购人）、承包人、监理单位三方验收后付至合同价款的60%，工程竣工验收合格后付至合同价款的80%，工程结算审核结束后，承包人开具审定总价的3%的银行保函或担保机构担保作为质保金，发包人（采购人）按照审定总价付清。</w:t>
            </w:r>
          </w:p>
          <w:p w14:paraId="20CFAFD0">
            <w:pPr>
              <w:spacing w:line="360" w:lineRule="auto"/>
              <w:rPr>
                <w:rFonts w:cs="@仿宋_GB2312" w:eastAsiaTheme="minorEastAsia"/>
                <w:kern w:val="2"/>
                <w:sz w:val="24"/>
                <w:szCs w:val="22"/>
                <w:highlight w:val="none"/>
              </w:rPr>
            </w:pPr>
            <w:r>
              <w:rPr>
                <w:rFonts w:hint="eastAsia" w:cs="@仿宋_GB2312" w:eastAsiaTheme="minorEastAsia"/>
                <w:kern w:val="2"/>
                <w:sz w:val="24"/>
                <w:szCs w:val="22"/>
                <w:highlight w:val="none"/>
              </w:rPr>
              <w:t>注：（1）金融机构出具的保函（银行保函），应为合肥行政区域（含四县一市）内的银行出具的见索即付无条件保函。</w:t>
            </w:r>
          </w:p>
          <w:p w14:paraId="38DCBB8F">
            <w:pPr>
              <w:spacing w:line="360" w:lineRule="auto"/>
              <w:rPr>
                <w:rFonts w:cs="@仿宋_GB2312" w:eastAsiaTheme="minorEastAsia"/>
                <w:kern w:val="2"/>
                <w:sz w:val="24"/>
                <w:szCs w:val="22"/>
                <w:highlight w:val="none"/>
              </w:rPr>
            </w:pPr>
            <w:r>
              <w:rPr>
                <w:rFonts w:hint="eastAsia" w:cs="@仿宋_GB2312" w:eastAsiaTheme="minorEastAsia"/>
                <w:kern w:val="2"/>
                <w:sz w:val="24"/>
                <w:szCs w:val="22"/>
                <w:highlight w:val="none"/>
              </w:rPr>
              <w:t>（2）担保机构出具的保函（担保机构担保），应为经安徽省地方金融监督管理局审查批准，依法取得融资担保业务经营许可证的合肥行政区域（含四县一市）内的融资担保机构出具的无条件保函。</w:t>
            </w:r>
          </w:p>
          <w:p w14:paraId="0AEC1A46">
            <w:pPr>
              <w:spacing w:line="360" w:lineRule="auto"/>
              <w:rPr>
                <w:rFonts w:cs="@仿宋_GB2312" w:asciiTheme="minorEastAsia" w:hAnsiTheme="minorEastAsia" w:eastAsiaTheme="minorEastAsia"/>
                <w:kern w:val="2"/>
                <w:sz w:val="24"/>
                <w:szCs w:val="22"/>
                <w:highlight w:val="none"/>
              </w:rPr>
            </w:pPr>
            <w:r>
              <w:rPr>
                <w:rFonts w:hint="eastAsia" w:cs="@仿宋_GB2312" w:eastAsiaTheme="minorEastAsia"/>
                <w:kern w:val="2"/>
                <w:sz w:val="24"/>
                <w:szCs w:val="22"/>
                <w:highlight w:val="none"/>
              </w:rPr>
              <w:t>（3）以上银行保函或担保机构担保的受益人和收取单位须为采购人。</w:t>
            </w:r>
          </w:p>
        </w:tc>
      </w:tr>
      <w:tr w14:paraId="70A5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A04E3D4">
            <w:pPr>
              <w:spacing w:line="360" w:lineRule="auto"/>
              <w:jc w:val="center"/>
              <w:rPr>
                <w:rFonts w:cs="@仿宋_GB2312" w:eastAsiaTheme="minorEastAsia"/>
                <w:kern w:val="2"/>
                <w:sz w:val="24"/>
                <w:szCs w:val="22"/>
              </w:rPr>
            </w:pPr>
            <w:r>
              <w:rPr>
                <w:rFonts w:hint="eastAsia" w:cs="@仿宋_GB2312" w:eastAsiaTheme="minorEastAsia"/>
                <w:kern w:val="2"/>
                <w:sz w:val="24"/>
                <w:szCs w:val="22"/>
              </w:rPr>
              <w:t>8</w:t>
            </w:r>
          </w:p>
        </w:tc>
        <w:tc>
          <w:tcPr>
            <w:tcW w:w="749" w:type="pct"/>
            <w:vAlign w:val="center"/>
          </w:tcPr>
          <w:p w14:paraId="4E390BC3">
            <w:pPr>
              <w:spacing w:line="360" w:lineRule="auto"/>
              <w:rPr>
                <w:rFonts w:cs="@仿宋_GB2312" w:eastAsiaTheme="minorEastAsia"/>
                <w:b/>
                <w:bCs/>
                <w:kern w:val="2"/>
                <w:sz w:val="24"/>
                <w:szCs w:val="22"/>
              </w:rPr>
            </w:pPr>
            <w:r>
              <w:rPr>
                <w:rFonts w:hint="eastAsia" w:cs="@仿宋_GB2312" w:eastAsiaTheme="minorEastAsia"/>
                <w:b/>
                <w:bCs/>
                <w:kern w:val="2"/>
                <w:sz w:val="24"/>
                <w:szCs w:val="22"/>
              </w:rPr>
              <w:t>材料与设备要求</w:t>
            </w:r>
          </w:p>
        </w:tc>
        <w:tc>
          <w:tcPr>
            <w:tcW w:w="3688" w:type="pct"/>
            <w:vAlign w:val="center"/>
          </w:tcPr>
          <w:p w14:paraId="1B181180">
            <w:pPr>
              <w:spacing w:line="360" w:lineRule="auto"/>
              <w:rPr>
                <w:rFonts w:cs="@仿宋_GB2312" w:eastAsiaTheme="minorEastAsia"/>
                <w:b w:val="0"/>
                <w:bCs w:val="0"/>
                <w:kern w:val="2"/>
                <w:sz w:val="24"/>
                <w:szCs w:val="22"/>
              </w:rPr>
            </w:pPr>
            <w:r>
              <w:rPr>
                <w:rFonts w:hint="eastAsia" w:cs="@仿宋_GB2312" w:eastAsiaTheme="minorEastAsia"/>
                <w:b w:val="0"/>
                <w:bCs w:val="0"/>
                <w:kern w:val="2"/>
                <w:sz w:val="24"/>
                <w:szCs w:val="22"/>
              </w:rPr>
              <w:t>本项目材料均由成交供应商采购，参考品牌如下：</w:t>
            </w:r>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117"/>
              <w:gridCol w:w="1140"/>
              <w:gridCol w:w="1140"/>
              <w:gridCol w:w="1080"/>
              <w:gridCol w:w="857"/>
            </w:tblGrid>
            <w:tr w14:paraId="39AD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14:paraId="791F9803">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cs="宋体"/>
                      <w:b w:val="0"/>
                      <w:bCs w:val="0"/>
                      <w:sz w:val="21"/>
                      <w:szCs w:val="21"/>
                    </w:rPr>
                  </w:pPr>
                  <w:r>
                    <w:rPr>
                      <w:rFonts w:hint="eastAsia" w:cs="宋体"/>
                      <w:b w:val="0"/>
                      <w:bCs w:val="0"/>
                      <w:sz w:val="21"/>
                      <w:szCs w:val="21"/>
                    </w:rPr>
                    <w:t>序号</w:t>
                  </w:r>
                </w:p>
              </w:tc>
              <w:tc>
                <w:tcPr>
                  <w:tcW w:w="1117" w:type="dxa"/>
                  <w:vAlign w:val="center"/>
                </w:tcPr>
                <w:p w14:paraId="1C96FDA1">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cs="宋体"/>
                      <w:b w:val="0"/>
                      <w:bCs w:val="0"/>
                      <w:sz w:val="21"/>
                      <w:szCs w:val="21"/>
                    </w:rPr>
                  </w:pPr>
                  <w:r>
                    <w:rPr>
                      <w:rFonts w:hint="eastAsia" w:cs="宋体"/>
                      <w:b w:val="0"/>
                      <w:bCs w:val="0"/>
                      <w:sz w:val="21"/>
                      <w:szCs w:val="21"/>
                    </w:rPr>
                    <w:t>材料设备名称</w:t>
                  </w:r>
                </w:p>
              </w:tc>
              <w:tc>
                <w:tcPr>
                  <w:tcW w:w="1140" w:type="dxa"/>
                  <w:vAlign w:val="center"/>
                </w:tcPr>
                <w:p w14:paraId="72EE6475">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cs="宋体"/>
                      <w:b w:val="0"/>
                      <w:bCs w:val="0"/>
                      <w:sz w:val="21"/>
                      <w:szCs w:val="21"/>
                    </w:rPr>
                  </w:pPr>
                  <w:r>
                    <w:rPr>
                      <w:rFonts w:hint="eastAsia" w:cs="宋体"/>
                      <w:b w:val="0"/>
                      <w:bCs w:val="0"/>
                      <w:sz w:val="21"/>
                      <w:szCs w:val="21"/>
                    </w:rPr>
                    <w:t>品牌1</w:t>
                  </w:r>
                </w:p>
              </w:tc>
              <w:tc>
                <w:tcPr>
                  <w:tcW w:w="1140" w:type="dxa"/>
                  <w:vAlign w:val="center"/>
                </w:tcPr>
                <w:p w14:paraId="0E7030EB">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cs="宋体"/>
                      <w:b w:val="0"/>
                      <w:bCs w:val="0"/>
                      <w:sz w:val="21"/>
                      <w:szCs w:val="21"/>
                    </w:rPr>
                  </w:pPr>
                  <w:r>
                    <w:rPr>
                      <w:rFonts w:hint="eastAsia" w:cs="宋体"/>
                      <w:b w:val="0"/>
                      <w:bCs w:val="0"/>
                      <w:sz w:val="21"/>
                      <w:szCs w:val="21"/>
                    </w:rPr>
                    <w:t>品牌2</w:t>
                  </w:r>
                </w:p>
              </w:tc>
              <w:tc>
                <w:tcPr>
                  <w:tcW w:w="1080" w:type="dxa"/>
                  <w:vAlign w:val="center"/>
                </w:tcPr>
                <w:p w14:paraId="11DA3B2F">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cs="宋体"/>
                      <w:b w:val="0"/>
                      <w:bCs w:val="0"/>
                      <w:sz w:val="21"/>
                      <w:szCs w:val="21"/>
                    </w:rPr>
                  </w:pPr>
                  <w:r>
                    <w:rPr>
                      <w:rFonts w:hint="eastAsia" w:cs="宋体"/>
                      <w:b w:val="0"/>
                      <w:bCs w:val="0"/>
                      <w:sz w:val="21"/>
                      <w:szCs w:val="21"/>
                    </w:rPr>
                    <w:t>品牌3</w:t>
                  </w:r>
                </w:p>
              </w:tc>
              <w:tc>
                <w:tcPr>
                  <w:tcW w:w="857" w:type="dxa"/>
                  <w:vAlign w:val="center"/>
                </w:tcPr>
                <w:p w14:paraId="3498B260">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eastAsia="宋体" w:cs="宋体"/>
                      <w:b w:val="0"/>
                      <w:bCs w:val="0"/>
                      <w:sz w:val="21"/>
                      <w:szCs w:val="21"/>
                      <w:lang w:val="en-US" w:eastAsia="zh-CN"/>
                    </w:rPr>
                  </w:pPr>
                  <w:r>
                    <w:rPr>
                      <w:rFonts w:hint="eastAsia" w:cs="宋体"/>
                      <w:b w:val="0"/>
                      <w:bCs w:val="0"/>
                      <w:sz w:val="21"/>
                      <w:szCs w:val="21"/>
                      <w:lang w:val="en-US" w:eastAsia="zh-CN"/>
                    </w:rPr>
                    <w:t>品牌4</w:t>
                  </w:r>
                </w:p>
              </w:tc>
            </w:tr>
            <w:tr w14:paraId="135A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14:paraId="02F8D908">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cs="宋体"/>
                      <w:b w:val="0"/>
                      <w:bCs w:val="0"/>
                      <w:sz w:val="21"/>
                      <w:szCs w:val="21"/>
                    </w:rPr>
                  </w:pPr>
                  <w:r>
                    <w:rPr>
                      <w:rFonts w:hint="eastAsia" w:cs="宋体"/>
                      <w:b w:val="0"/>
                      <w:bCs w:val="0"/>
                      <w:sz w:val="21"/>
                      <w:szCs w:val="21"/>
                    </w:rPr>
                    <w:t>1</w:t>
                  </w:r>
                </w:p>
              </w:tc>
              <w:tc>
                <w:tcPr>
                  <w:tcW w:w="1117" w:type="dxa"/>
                  <w:vAlign w:val="center"/>
                </w:tcPr>
                <w:p w14:paraId="12B3439F">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cs="宋体"/>
                      <w:b w:val="0"/>
                      <w:bCs w:val="0"/>
                      <w:sz w:val="21"/>
                      <w:szCs w:val="21"/>
                    </w:rPr>
                  </w:pPr>
                  <w:r>
                    <w:rPr>
                      <w:rFonts w:hint="eastAsia" w:cs="宋体"/>
                      <w:b w:val="0"/>
                      <w:bCs w:val="0"/>
                      <w:sz w:val="21"/>
                      <w:szCs w:val="21"/>
                    </w:rPr>
                    <w:t>中央空调</w:t>
                  </w:r>
                </w:p>
              </w:tc>
              <w:tc>
                <w:tcPr>
                  <w:tcW w:w="1140" w:type="dxa"/>
                  <w:vAlign w:val="center"/>
                </w:tcPr>
                <w:p w14:paraId="3CB393CE">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cs="宋体"/>
                      <w:b w:val="0"/>
                      <w:bCs w:val="0"/>
                      <w:sz w:val="21"/>
                      <w:szCs w:val="21"/>
                    </w:rPr>
                  </w:pPr>
                  <w:r>
                    <w:rPr>
                      <w:rFonts w:hint="eastAsia" w:cs="宋体"/>
                      <w:b w:val="0"/>
                      <w:bCs w:val="0"/>
                      <w:sz w:val="21"/>
                      <w:szCs w:val="21"/>
                    </w:rPr>
                    <w:t>格力</w:t>
                  </w:r>
                </w:p>
              </w:tc>
              <w:tc>
                <w:tcPr>
                  <w:tcW w:w="1140" w:type="dxa"/>
                  <w:vAlign w:val="center"/>
                </w:tcPr>
                <w:p w14:paraId="3B247418">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宋体" w:cs="宋体"/>
                      <w:b w:val="0"/>
                      <w:bCs w:val="0"/>
                      <w:sz w:val="21"/>
                      <w:szCs w:val="21"/>
                      <w:lang w:eastAsia="zh-CN"/>
                    </w:rPr>
                  </w:pPr>
                  <w:r>
                    <w:rPr>
                      <w:rFonts w:hint="eastAsia" w:cs="宋体"/>
                      <w:b w:val="0"/>
                      <w:bCs w:val="0"/>
                      <w:sz w:val="21"/>
                      <w:szCs w:val="21"/>
                      <w:lang w:val="en-US" w:eastAsia="zh-CN"/>
                    </w:rPr>
                    <w:t>日立</w:t>
                  </w:r>
                </w:p>
              </w:tc>
              <w:tc>
                <w:tcPr>
                  <w:tcW w:w="1080" w:type="dxa"/>
                  <w:vAlign w:val="center"/>
                </w:tcPr>
                <w:p w14:paraId="47472347">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宋体" w:cs="宋体"/>
                      <w:b w:val="0"/>
                      <w:bCs w:val="0"/>
                      <w:sz w:val="21"/>
                      <w:szCs w:val="21"/>
                      <w:lang w:eastAsia="zh-CN"/>
                    </w:rPr>
                  </w:pPr>
                  <w:r>
                    <w:rPr>
                      <w:rFonts w:hint="eastAsia" w:cs="宋体"/>
                      <w:b w:val="0"/>
                      <w:bCs w:val="0"/>
                      <w:sz w:val="21"/>
                      <w:szCs w:val="21"/>
                      <w:lang w:val="en-US" w:eastAsia="zh-CN"/>
                    </w:rPr>
                    <w:t>三菱电机</w:t>
                  </w:r>
                </w:p>
              </w:tc>
              <w:tc>
                <w:tcPr>
                  <w:tcW w:w="857" w:type="dxa"/>
                  <w:vAlign w:val="center"/>
                </w:tcPr>
                <w:p w14:paraId="1264C4C3">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宋体" w:cs="宋体"/>
                      <w:b w:val="0"/>
                      <w:bCs w:val="0"/>
                      <w:sz w:val="21"/>
                      <w:szCs w:val="21"/>
                      <w:lang w:val="en-US" w:eastAsia="zh-CN"/>
                    </w:rPr>
                  </w:pPr>
                  <w:r>
                    <w:rPr>
                      <w:rFonts w:hint="eastAsia" w:cs="宋体"/>
                      <w:b w:val="0"/>
                      <w:bCs w:val="0"/>
                      <w:sz w:val="21"/>
                      <w:szCs w:val="21"/>
                      <w:lang w:val="en-US" w:eastAsia="zh-CN"/>
                    </w:rPr>
                    <w:t>东芝</w:t>
                  </w:r>
                </w:p>
              </w:tc>
            </w:tr>
            <w:tr w14:paraId="3D4B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14:paraId="78A7BC0F">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宋体" w:cs="宋体"/>
                      <w:b w:val="0"/>
                      <w:bCs w:val="0"/>
                      <w:sz w:val="21"/>
                      <w:szCs w:val="21"/>
                      <w:lang w:val="en-US" w:eastAsia="zh-CN"/>
                    </w:rPr>
                  </w:pPr>
                  <w:r>
                    <w:rPr>
                      <w:rFonts w:hint="eastAsia" w:cs="宋体"/>
                      <w:b w:val="0"/>
                      <w:bCs w:val="0"/>
                      <w:sz w:val="21"/>
                      <w:szCs w:val="21"/>
                      <w:lang w:val="en-US" w:eastAsia="zh-CN"/>
                    </w:rPr>
                    <w:t>2</w:t>
                  </w:r>
                </w:p>
              </w:tc>
              <w:tc>
                <w:tcPr>
                  <w:tcW w:w="1117" w:type="dxa"/>
                  <w:vAlign w:val="center"/>
                </w:tcPr>
                <w:p w14:paraId="365679B4">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s="宋体"/>
                      <w:b w:val="0"/>
                      <w:bCs w:val="0"/>
                      <w:sz w:val="21"/>
                      <w:szCs w:val="21"/>
                    </w:rPr>
                  </w:pPr>
                  <w:r>
                    <w:rPr>
                      <w:rFonts w:hint="eastAsia" w:cs="宋体"/>
                      <w:b w:val="0"/>
                      <w:bCs w:val="0"/>
                      <w:sz w:val="21"/>
                      <w:szCs w:val="21"/>
                    </w:rPr>
                    <w:t>电缆</w:t>
                  </w:r>
                </w:p>
              </w:tc>
              <w:tc>
                <w:tcPr>
                  <w:tcW w:w="1140" w:type="dxa"/>
                  <w:vAlign w:val="center"/>
                </w:tcPr>
                <w:p w14:paraId="134B9B9F">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s="宋体"/>
                      <w:b w:val="0"/>
                      <w:bCs w:val="0"/>
                      <w:sz w:val="21"/>
                      <w:szCs w:val="21"/>
                    </w:rPr>
                  </w:pPr>
                  <w:r>
                    <w:rPr>
                      <w:rFonts w:hint="eastAsia" w:cs="宋体"/>
                      <w:b w:val="0"/>
                      <w:bCs w:val="0"/>
                      <w:sz w:val="21"/>
                      <w:szCs w:val="21"/>
                    </w:rPr>
                    <w:t>无锡江南</w:t>
                  </w:r>
                </w:p>
              </w:tc>
              <w:tc>
                <w:tcPr>
                  <w:tcW w:w="1140" w:type="dxa"/>
                  <w:vAlign w:val="center"/>
                </w:tcPr>
                <w:p w14:paraId="202362D6">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s="宋体"/>
                      <w:b w:val="0"/>
                      <w:bCs w:val="0"/>
                      <w:sz w:val="21"/>
                      <w:szCs w:val="21"/>
                      <w:lang w:val="en-US" w:eastAsia="zh-CN"/>
                    </w:rPr>
                  </w:pPr>
                  <w:r>
                    <w:rPr>
                      <w:rFonts w:hint="eastAsia" w:cs="宋体"/>
                      <w:b w:val="0"/>
                      <w:bCs w:val="0"/>
                      <w:sz w:val="21"/>
                      <w:szCs w:val="21"/>
                      <w:lang w:val="en-US" w:eastAsia="zh-CN"/>
                    </w:rPr>
                    <w:t>远东</w:t>
                  </w:r>
                </w:p>
              </w:tc>
              <w:tc>
                <w:tcPr>
                  <w:tcW w:w="1080" w:type="dxa"/>
                  <w:vAlign w:val="center"/>
                </w:tcPr>
                <w:p w14:paraId="2016580F">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s="宋体"/>
                      <w:b w:val="0"/>
                      <w:bCs w:val="0"/>
                      <w:sz w:val="21"/>
                      <w:szCs w:val="21"/>
                      <w:lang w:val="en-US" w:eastAsia="zh-CN"/>
                    </w:rPr>
                  </w:pPr>
                  <w:r>
                    <w:rPr>
                      <w:rFonts w:hint="eastAsia" w:cs="宋体"/>
                      <w:b w:val="0"/>
                      <w:bCs w:val="0"/>
                      <w:sz w:val="21"/>
                      <w:szCs w:val="21"/>
                      <w:lang w:val="en-US" w:eastAsia="zh-CN"/>
                    </w:rPr>
                    <w:t>上上</w:t>
                  </w:r>
                </w:p>
              </w:tc>
              <w:tc>
                <w:tcPr>
                  <w:tcW w:w="857" w:type="dxa"/>
                  <w:vAlign w:val="center"/>
                </w:tcPr>
                <w:p w14:paraId="1EEC5D01">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s="宋体"/>
                      <w:b w:val="0"/>
                      <w:bCs w:val="0"/>
                      <w:sz w:val="21"/>
                      <w:szCs w:val="21"/>
                      <w:lang w:val="en-US" w:eastAsia="zh-CN"/>
                    </w:rPr>
                  </w:pPr>
                  <w:r>
                    <w:rPr>
                      <w:rFonts w:hint="eastAsia" w:cs="宋体"/>
                      <w:b w:val="0"/>
                      <w:bCs w:val="0"/>
                      <w:sz w:val="21"/>
                      <w:szCs w:val="21"/>
                      <w:lang w:val="en-US" w:eastAsia="zh-CN"/>
                    </w:rPr>
                    <w:t>宝胜</w:t>
                  </w:r>
                </w:p>
              </w:tc>
            </w:tr>
            <w:tr w14:paraId="6D85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14:paraId="7F5F9310">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宋体" w:cs="宋体"/>
                      <w:b w:val="0"/>
                      <w:bCs w:val="0"/>
                      <w:sz w:val="21"/>
                      <w:szCs w:val="21"/>
                      <w:lang w:val="en-US" w:eastAsia="zh-CN"/>
                    </w:rPr>
                  </w:pPr>
                  <w:r>
                    <w:rPr>
                      <w:rFonts w:hint="eastAsia" w:cs="宋体"/>
                      <w:b w:val="0"/>
                      <w:bCs w:val="0"/>
                      <w:sz w:val="21"/>
                      <w:szCs w:val="21"/>
                      <w:lang w:val="en-US" w:eastAsia="zh-CN"/>
                    </w:rPr>
                    <w:t>3</w:t>
                  </w:r>
                </w:p>
              </w:tc>
              <w:tc>
                <w:tcPr>
                  <w:tcW w:w="1117" w:type="dxa"/>
                  <w:vAlign w:val="center"/>
                </w:tcPr>
                <w:p w14:paraId="5B59E7B6">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宋体" w:cs="宋体"/>
                      <w:b w:val="0"/>
                      <w:bCs w:val="0"/>
                      <w:sz w:val="21"/>
                      <w:szCs w:val="21"/>
                      <w:lang w:val="en-US" w:eastAsia="zh-CN"/>
                    </w:rPr>
                  </w:pPr>
                  <w:r>
                    <w:rPr>
                      <w:rFonts w:hint="eastAsia" w:cs="宋体"/>
                      <w:b w:val="0"/>
                      <w:bCs w:val="0"/>
                      <w:sz w:val="21"/>
                      <w:szCs w:val="21"/>
                      <w:lang w:val="en-US" w:eastAsia="zh-CN"/>
                    </w:rPr>
                    <w:t>铜管</w:t>
                  </w:r>
                </w:p>
              </w:tc>
              <w:tc>
                <w:tcPr>
                  <w:tcW w:w="1140" w:type="dxa"/>
                  <w:vAlign w:val="center"/>
                </w:tcPr>
                <w:p w14:paraId="0CAD47B5">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s="宋体"/>
                      <w:b w:val="0"/>
                      <w:bCs w:val="0"/>
                      <w:sz w:val="21"/>
                      <w:szCs w:val="21"/>
                    </w:rPr>
                  </w:pPr>
                  <w:r>
                    <w:rPr>
                      <w:rFonts w:hint="eastAsia" w:cs="宋体"/>
                      <w:b w:val="0"/>
                      <w:bCs w:val="0"/>
                      <w:sz w:val="21"/>
                      <w:szCs w:val="21"/>
                    </w:rPr>
                    <w:t>海亮</w:t>
                  </w:r>
                </w:p>
              </w:tc>
              <w:tc>
                <w:tcPr>
                  <w:tcW w:w="1140" w:type="dxa"/>
                  <w:vAlign w:val="center"/>
                </w:tcPr>
                <w:p w14:paraId="6DFBB599">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s="宋体"/>
                      <w:b w:val="0"/>
                      <w:bCs w:val="0"/>
                      <w:sz w:val="21"/>
                      <w:szCs w:val="21"/>
                      <w:lang w:val="en-US" w:eastAsia="zh-CN"/>
                    </w:rPr>
                  </w:pPr>
                  <w:r>
                    <w:rPr>
                      <w:rFonts w:hint="eastAsia" w:cs="宋体"/>
                      <w:b w:val="0"/>
                      <w:bCs w:val="0"/>
                      <w:sz w:val="21"/>
                      <w:szCs w:val="21"/>
                      <w:lang w:val="en-US" w:eastAsia="zh-CN"/>
                    </w:rPr>
                    <w:t>埃美柯</w:t>
                  </w:r>
                </w:p>
              </w:tc>
              <w:tc>
                <w:tcPr>
                  <w:tcW w:w="1080" w:type="dxa"/>
                  <w:vAlign w:val="center"/>
                </w:tcPr>
                <w:p w14:paraId="1B330A66">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s="宋体"/>
                      <w:b w:val="0"/>
                      <w:bCs w:val="0"/>
                      <w:sz w:val="21"/>
                      <w:szCs w:val="21"/>
                      <w:lang w:val="en-US" w:eastAsia="zh-CN"/>
                    </w:rPr>
                  </w:pPr>
                  <w:r>
                    <w:rPr>
                      <w:rFonts w:hint="eastAsia" w:cs="宋体"/>
                      <w:b w:val="0"/>
                      <w:bCs w:val="0"/>
                      <w:sz w:val="21"/>
                      <w:szCs w:val="21"/>
                      <w:lang w:val="en-US" w:eastAsia="zh-CN"/>
                    </w:rPr>
                    <w:t>青山控股</w:t>
                  </w:r>
                </w:p>
              </w:tc>
              <w:tc>
                <w:tcPr>
                  <w:tcW w:w="857" w:type="dxa"/>
                  <w:vAlign w:val="center"/>
                </w:tcPr>
                <w:p w14:paraId="7F36AD25">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s="宋体"/>
                      <w:b w:val="0"/>
                      <w:bCs w:val="0"/>
                      <w:sz w:val="21"/>
                      <w:szCs w:val="21"/>
                      <w:lang w:val="en-US" w:eastAsia="zh-CN"/>
                    </w:rPr>
                  </w:pPr>
                </w:p>
              </w:tc>
            </w:tr>
            <w:tr w14:paraId="5ADB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1" w:type="dxa"/>
                  <w:gridSpan w:val="6"/>
                </w:tcPr>
                <w:p w14:paraId="0EB8D947">
                  <w:pPr>
                    <w:adjustRightInd w:val="0"/>
                    <w:snapToGrid w:val="0"/>
                    <w:spacing w:line="360" w:lineRule="auto"/>
                    <w:rPr>
                      <w:rFonts w:cs="宋体"/>
                      <w:sz w:val="24"/>
                      <w:szCs w:val="24"/>
                    </w:rPr>
                  </w:pPr>
                  <w:r>
                    <w:rPr>
                      <w:rFonts w:hint="eastAsia" w:cs="宋体"/>
                      <w:sz w:val="24"/>
                      <w:szCs w:val="24"/>
                    </w:rPr>
                    <w:t>注：对于采购人参考品牌的材料、设备，供应商可选用参考品牌或不低于参考品牌技术性能指标的其他品牌；采用其他品牌的应在响应文件《参考材料品牌响应表》中注明并提供相关技术性能指标、业绩等供评审小组评审，未在《参考材料品牌响应表》中注明且未提供相关技术性能指标、业绩，或经评审小组评审未通过的，成交后只能从采购人参考品牌中进行选择，合同价格不予调整。</w:t>
                  </w:r>
                </w:p>
              </w:tc>
            </w:tr>
          </w:tbl>
          <w:p w14:paraId="39E89ECE">
            <w:pPr>
              <w:pStyle w:val="5"/>
              <w:rPr>
                <w:rFonts w:cs="@仿宋_GB2312" w:eastAsiaTheme="minorEastAsia"/>
                <w:kern w:val="2"/>
                <w:sz w:val="24"/>
              </w:rPr>
            </w:pPr>
          </w:p>
        </w:tc>
      </w:tr>
      <w:tr w14:paraId="5CD2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15E56A3">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9</w:t>
            </w:r>
          </w:p>
        </w:tc>
        <w:tc>
          <w:tcPr>
            <w:tcW w:w="749" w:type="pct"/>
            <w:vAlign w:val="center"/>
          </w:tcPr>
          <w:p w14:paraId="55D1ED80">
            <w:pPr>
              <w:pStyle w:val="19"/>
              <w:widowControl w:val="0"/>
              <w:spacing w:before="0" w:beforeAutospacing="0" w:after="0" w:afterAutospacing="0" w:line="360" w:lineRule="auto"/>
              <w:rPr>
                <w:rFonts w:cs="@仿宋_GB2312" w:asciiTheme="minorEastAsia" w:hAnsiTheme="minorEastAsia" w:eastAsiaTheme="minorEastAsia"/>
                <w:kern w:val="2"/>
                <w:sz w:val="24"/>
              </w:rPr>
            </w:pPr>
            <w:r>
              <w:rPr>
                <w:rFonts w:hint="eastAsia" w:asciiTheme="minorHAnsi" w:hAnsiTheme="minorHAnsi" w:eastAsiaTheme="minorEastAsia"/>
                <w:b w:val="0"/>
                <w:kern w:val="2"/>
                <w:sz w:val="24"/>
              </w:rPr>
              <w:t>本项目采购标的名称及所属行业</w:t>
            </w:r>
          </w:p>
        </w:tc>
        <w:tc>
          <w:tcPr>
            <w:tcW w:w="3688" w:type="pct"/>
            <w:vAlign w:val="center"/>
          </w:tcPr>
          <w:p w14:paraId="74350773">
            <w:pPr>
              <w:spacing w:line="360" w:lineRule="auto"/>
              <w:jc w:val="left"/>
              <w:rPr>
                <w:rFonts w:hint="eastAsia" w:asciiTheme="minorEastAsia" w:hAnsiTheme="minorEastAsia" w:eastAsiaTheme="minorEastAsia"/>
                <w:kern w:val="2"/>
                <w:sz w:val="24"/>
                <w:szCs w:val="22"/>
                <w:lang w:eastAsia="zh-CN"/>
              </w:rPr>
            </w:pPr>
            <w:r>
              <w:rPr>
                <w:rFonts w:hint="eastAsia" w:asciiTheme="minorEastAsia" w:hAnsiTheme="minorEastAsia" w:eastAsiaTheme="minorEastAsia"/>
                <w:kern w:val="2"/>
                <w:sz w:val="24"/>
                <w:szCs w:val="22"/>
              </w:rPr>
              <w:t>标的名称：</w:t>
            </w:r>
            <w:r>
              <w:rPr>
                <w:rFonts w:hint="eastAsia" w:asciiTheme="minorEastAsia" w:hAnsiTheme="minorEastAsia" w:eastAsiaTheme="minorEastAsia"/>
                <w:kern w:val="2"/>
                <w:sz w:val="24"/>
                <w:szCs w:val="22"/>
                <w:lang w:eastAsia="zh-CN"/>
              </w:rPr>
              <w:t>合肥海关屯溪路综合实验楼空调系统改造（二次）</w:t>
            </w:r>
          </w:p>
          <w:p w14:paraId="66A533E2">
            <w:pPr>
              <w:rPr>
                <w:rFonts w:asciiTheme="minorHAnsi" w:hAnsiTheme="minorHAnsi" w:eastAsiaTheme="minorEastAsia"/>
                <w:kern w:val="2"/>
                <w:sz w:val="24"/>
                <w:szCs w:val="22"/>
              </w:rPr>
            </w:pPr>
            <w:r>
              <w:rPr>
                <w:rFonts w:hint="eastAsia" w:asciiTheme="minorEastAsia" w:hAnsiTheme="minorEastAsia" w:eastAsiaTheme="minorEastAsia"/>
                <w:b/>
                <w:bCs/>
                <w:kern w:val="2"/>
                <w:sz w:val="24"/>
                <w:szCs w:val="22"/>
              </w:rPr>
              <w:t>所属行业：建筑业</w:t>
            </w:r>
          </w:p>
        </w:tc>
      </w:tr>
      <w:tr w14:paraId="41D9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CE56C92">
            <w:pPr>
              <w:spacing w:line="360" w:lineRule="auto"/>
              <w:jc w:val="center"/>
              <w:rPr>
                <w:rFonts w:cs="@仿宋_GB2312" w:asciiTheme="minorEastAsia" w:hAnsiTheme="minorEastAsia" w:eastAsiaTheme="minorEastAsia"/>
                <w:b/>
                <w:bCs/>
                <w:kern w:val="2"/>
                <w:sz w:val="24"/>
                <w:szCs w:val="22"/>
              </w:rPr>
            </w:pPr>
            <w:r>
              <w:rPr>
                <w:rFonts w:hint="eastAsia" w:cs="@仿宋_GB2312" w:asciiTheme="minorEastAsia" w:hAnsiTheme="minorEastAsia" w:eastAsiaTheme="minorEastAsia"/>
                <w:b/>
                <w:bCs/>
                <w:kern w:val="2"/>
                <w:sz w:val="24"/>
                <w:szCs w:val="22"/>
              </w:rPr>
              <w:t>10</w:t>
            </w:r>
          </w:p>
        </w:tc>
        <w:tc>
          <w:tcPr>
            <w:tcW w:w="749" w:type="pct"/>
            <w:vAlign w:val="center"/>
          </w:tcPr>
          <w:p w14:paraId="4BC3EE85">
            <w:pPr>
              <w:pStyle w:val="19"/>
              <w:widowControl w:val="0"/>
              <w:spacing w:before="0" w:beforeAutospacing="0" w:after="0" w:afterAutospacing="0" w:line="360" w:lineRule="auto"/>
              <w:rPr>
                <w:rFonts w:asciiTheme="minorHAnsi" w:hAnsiTheme="minorHAnsi" w:eastAsiaTheme="minorEastAsia"/>
                <w:kern w:val="2"/>
                <w:sz w:val="24"/>
              </w:rPr>
            </w:pPr>
            <w:r>
              <w:rPr>
                <w:rFonts w:hint="eastAsia" w:asciiTheme="minorHAnsi" w:hAnsiTheme="minorHAnsi" w:eastAsiaTheme="minorEastAsia"/>
                <w:kern w:val="2"/>
                <w:sz w:val="24"/>
              </w:rPr>
              <w:t>技术要求</w:t>
            </w:r>
          </w:p>
        </w:tc>
        <w:tc>
          <w:tcPr>
            <w:tcW w:w="3688" w:type="pct"/>
            <w:vAlign w:val="center"/>
          </w:tcPr>
          <w:p w14:paraId="259A75AD">
            <w:pPr>
              <w:spacing w:line="360" w:lineRule="auto"/>
              <w:rPr>
                <w:rFonts w:asciiTheme="minorEastAsia" w:hAnsiTheme="minorEastAsia" w:eastAsiaTheme="minorEastAsia"/>
                <w:b/>
                <w:bCs/>
                <w:kern w:val="2"/>
                <w:sz w:val="24"/>
                <w:szCs w:val="22"/>
              </w:rPr>
            </w:pPr>
            <w:r>
              <w:rPr>
                <w:rFonts w:hint="eastAsia" w:asciiTheme="minorEastAsia" w:hAnsiTheme="minorEastAsia" w:eastAsiaTheme="minorEastAsia"/>
                <w:b/>
                <w:bCs/>
                <w:kern w:val="2"/>
                <w:sz w:val="24"/>
                <w:szCs w:val="22"/>
              </w:rPr>
              <w:t>详见图纸、工程量清单</w:t>
            </w:r>
          </w:p>
        </w:tc>
      </w:tr>
      <w:tr w14:paraId="2F56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F82F5F5">
            <w:pPr>
              <w:spacing w:line="360" w:lineRule="auto"/>
              <w:jc w:val="center"/>
              <w:rPr>
                <w:rFonts w:cs="@仿宋_GB2312" w:asciiTheme="minorEastAsia" w:hAnsiTheme="minorEastAsia" w:eastAsiaTheme="minorEastAsia"/>
                <w:b/>
                <w:bCs/>
                <w:kern w:val="2"/>
                <w:sz w:val="24"/>
                <w:szCs w:val="22"/>
              </w:rPr>
            </w:pPr>
            <w:r>
              <w:rPr>
                <w:rFonts w:hint="eastAsia" w:cs="@仿宋_GB2312" w:asciiTheme="minorEastAsia" w:hAnsiTheme="minorEastAsia" w:eastAsiaTheme="minorEastAsia"/>
                <w:b/>
                <w:bCs/>
                <w:kern w:val="2"/>
                <w:sz w:val="24"/>
                <w:szCs w:val="22"/>
              </w:rPr>
              <w:t>11</w:t>
            </w:r>
          </w:p>
        </w:tc>
        <w:tc>
          <w:tcPr>
            <w:tcW w:w="749" w:type="pct"/>
            <w:vAlign w:val="center"/>
          </w:tcPr>
          <w:p w14:paraId="102C6537">
            <w:pPr>
              <w:pStyle w:val="19"/>
              <w:widowControl w:val="0"/>
              <w:spacing w:before="0" w:beforeAutospacing="0" w:after="0" w:afterAutospacing="0" w:line="360" w:lineRule="auto"/>
              <w:rPr>
                <w:rFonts w:asciiTheme="minorHAnsi" w:hAnsiTheme="minorHAnsi" w:eastAsiaTheme="minorEastAsia"/>
                <w:kern w:val="2"/>
                <w:sz w:val="24"/>
              </w:rPr>
            </w:pPr>
            <w:r>
              <w:rPr>
                <w:rFonts w:hint="eastAsia" w:asciiTheme="minorHAnsi" w:hAnsiTheme="minorHAnsi" w:eastAsiaTheme="minorEastAsia"/>
                <w:kern w:val="2"/>
                <w:sz w:val="24"/>
              </w:rPr>
              <w:t>其他要求</w:t>
            </w:r>
          </w:p>
        </w:tc>
        <w:tc>
          <w:tcPr>
            <w:tcW w:w="3688" w:type="pct"/>
            <w:vAlign w:val="center"/>
          </w:tcPr>
          <w:p w14:paraId="165024E4">
            <w:pPr>
              <w:numPr>
                <w:ilvl w:val="255"/>
                <w:numId w:val="0"/>
              </w:numPr>
              <w:spacing w:line="360" w:lineRule="auto"/>
              <w:rPr>
                <w:rFonts w:asciiTheme="minorEastAsia" w:hAnsiTheme="minorEastAsia" w:eastAsiaTheme="minorEastAsia"/>
                <w:b/>
                <w:bCs/>
                <w:kern w:val="2"/>
                <w:sz w:val="24"/>
                <w:szCs w:val="22"/>
              </w:rPr>
            </w:pPr>
            <w:r>
              <w:rPr>
                <w:rFonts w:hint="eastAsia" w:asciiTheme="minorEastAsia" w:hAnsiTheme="minorEastAsia" w:eastAsiaTheme="minorEastAsia"/>
                <w:b/>
                <w:bCs/>
                <w:kern w:val="2"/>
                <w:sz w:val="24"/>
                <w:szCs w:val="22"/>
              </w:rPr>
              <w:t>1、中央空调室外机、室内机安装应有有效的降噪措施，（如隔音棉、减震垫、消声风管等），供应商须根据现场实际情况，做好降低消声安装调整深化工作，此费用供应商自行考虑在报价中。</w:t>
            </w:r>
          </w:p>
          <w:p w14:paraId="7E506BF4">
            <w:pPr>
              <w:numPr>
                <w:ilvl w:val="255"/>
                <w:numId w:val="0"/>
              </w:numPr>
              <w:spacing w:line="360" w:lineRule="auto"/>
              <w:rPr>
                <w:rFonts w:hint="default" w:asciiTheme="minorEastAsia" w:hAnsiTheme="minorEastAsia" w:eastAsiaTheme="minorEastAsia"/>
                <w:b/>
                <w:bCs/>
                <w:kern w:val="2"/>
                <w:sz w:val="24"/>
                <w:szCs w:val="22"/>
                <w:lang w:val="en-US" w:eastAsia="zh-CN"/>
              </w:rPr>
            </w:pPr>
            <w:r>
              <w:rPr>
                <w:rFonts w:hint="eastAsia" w:asciiTheme="minorEastAsia" w:hAnsiTheme="minorEastAsia" w:eastAsiaTheme="minorEastAsia"/>
                <w:b/>
                <w:bCs/>
                <w:kern w:val="2"/>
                <w:sz w:val="24"/>
                <w:szCs w:val="22"/>
              </w:rPr>
              <w:t>2、施工完成后，办公区噪声应不超过《声环境质量标准》（GB3096-2008）中，1类声环境功能区噪声限值。</w:t>
            </w:r>
            <w:r>
              <w:rPr>
                <w:rFonts w:hint="eastAsia" w:asciiTheme="minorEastAsia" w:hAnsiTheme="minorEastAsia" w:eastAsiaTheme="minorEastAsia"/>
                <w:b/>
                <w:bCs/>
                <w:kern w:val="2"/>
                <w:sz w:val="24"/>
                <w:szCs w:val="22"/>
                <w:lang w:val="en-US" w:eastAsia="zh-CN"/>
              </w:rPr>
              <w:t>供应商须提供第三方检测机构出具的针对办公环境噪声的检测报告。</w:t>
            </w:r>
          </w:p>
          <w:p w14:paraId="02DFB93D">
            <w:pPr>
              <w:numPr>
                <w:ilvl w:val="255"/>
                <w:numId w:val="0"/>
              </w:numPr>
              <w:spacing w:line="360" w:lineRule="auto"/>
              <w:rPr>
                <w:rFonts w:asciiTheme="minorEastAsia" w:hAnsiTheme="minorEastAsia" w:eastAsiaTheme="minorEastAsia"/>
                <w:b/>
                <w:bCs/>
                <w:kern w:val="2"/>
                <w:sz w:val="24"/>
                <w:szCs w:val="22"/>
              </w:rPr>
            </w:pPr>
            <w:r>
              <w:rPr>
                <w:rFonts w:hint="eastAsia" w:asciiTheme="minorEastAsia" w:hAnsiTheme="minorEastAsia" w:eastAsiaTheme="minorEastAsia"/>
                <w:b/>
                <w:bCs/>
                <w:kern w:val="2"/>
                <w:sz w:val="24"/>
                <w:szCs w:val="22"/>
              </w:rPr>
              <w:t>3、所投中央空调产品，机组噪声符合《多联机空调（热泵）机组》GB/T18837-2015。</w:t>
            </w:r>
          </w:p>
          <w:p w14:paraId="65374119">
            <w:pPr>
              <w:numPr>
                <w:ilvl w:val="255"/>
                <w:numId w:val="0"/>
              </w:numPr>
              <w:spacing w:line="360" w:lineRule="auto"/>
              <w:rPr>
                <w:rFonts w:hint="eastAsia" w:asciiTheme="minorEastAsia" w:hAnsiTheme="minorEastAsia" w:eastAsiaTheme="minorEastAsia"/>
                <w:b/>
                <w:bCs/>
                <w:kern w:val="2"/>
                <w:sz w:val="24"/>
                <w:szCs w:val="22"/>
                <w:lang w:eastAsia="zh-CN"/>
              </w:rPr>
            </w:pPr>
            <w:r>
              <w:rPr>
                <w:rFonts w:hint="eastAsia" w:asciiTheme="minorEastAsia" w:hAnsiTheme="minorEastAsia" w:eastAsiaTheme="minorEastAsia"/>
                <w:b/>
                <w:bCs/>
                <w:kern w:val="2"/>
                <w:sz w:val="24"/>
                <w:szCs w:val="22"/>
              </w:rPr>
              <w:t>4、所投中央空调产品APF值应满足《多联式空调（热泵）机组能效限定值及能效等级》（GB21454-2021）中风冷式热泵型多联机能效等级指标值中能效等级1级的标准（须提供中国能效标识网查询截图， 截图中反映的产品型号须与所投产品型号一致）</w:t>
            </w:r>
            <w:r>
              <w:rPr>
                <w:rFonts w:hint="eastAsia" w:asciiTheme="minorEastAsia" w:hAnsiTheme="minorEastAsia" w:eastAsiaTheme="minorEastAsia"/>
                <w:b/>
                <w:bCs/>
                <w:kern w:val="2"/>
                <w:sz w:val="24"/>
                <w:szCs w:val="22"/>
                <w:lang w:eastAsia="zh-CN"/>
              </w:rPr>
              <w:t>。</w:t>
            </w:r>
          </w:p>
          <w:p w14:paraId="2B9FF86D">
            <w:pPr>
              <w:numPr>
                <w:ilvl w:val="255"/>
                <w:numId w:val="0"/>
              </w:numPr>
              <w:spacing w:line="360" w:lineRule="auto"/>
              <w:rPr>
                <w:rFonts w:hint="eastAsia" w:asciiTheme="minorEastAsia" w:hAnsiTheme="minorEastAsia" w:eastAsiaTheme="minorEastAsia"/>
                <w:b/>
                <w:bCs/>
                <w:kern w:val="2"/>
                <w:sz w:val="24"/>
                <w:szCs w:val="22"/>
                <w:lang w:val="en-US" w:eastAsia="zh-CN"/>
              </w:rPr>
            </w:pPr>
            <w:r>
              <w:rPr>
                <w:rFonts w:hint="eastAsia" w:asciiTheme="minorEastAsia" w:hAnsiTheme="minorEastAsia" w:eastAsiaTheme="minorEastAsia"/>
                <w:b/>
                <w:bCs/>
                <w:kern w:val="2"/>
                <w:sz w:val="24"/>
                <w:szCs w:val="22"/>
              </w:rPr>
              <w:t>5、图纸中有防爆要求的空调应按照要求提供对应防爆空调设备并按防爆空调施工规范进行安装。成交供应商在项目验收前须向采购人提供对应产品的防爆合格证</w:t>
            </w:r>
            <w:r>
              <w:rPr>
                <w:rFonts w:hint="eastAsia" w:asciiTheme="minorEastAsia" w:hAnsiTheme="minorEastAsia" w:eastAsiaTheme="minorEastAsia"/>
                <w:b/>
                <w:bCs/>
                <w:kern w:val="2"/>
                <w:sz w:val="24"/>
                <w:szCs w:val="22"/>
                <w:lang w:val="en-US" w:eastAsia="zh-CN"/>
              </w:rPr>
              <w:t>。</w:t>
            </w:r>
          </w:p>
          <w:p w14:paraId="1686614E">
            <w:pPr>
              <w:pStyle w:val="2"/>
              <w:rPr>
                <w:rFonts w:hint="default"/>
                <w:kern w:val="2"/>
                <w:sz w:val="21"/>
                <w:lang w:val="en-US" w:eastAsia="zh-CN"/>
              </w:rPr>
            </w:pPr>
            <w:r>
              <w:rPr>
                <w:rFonts w:hint="eastAsia" w:asciiTheme="minorEastAsia" w:hAnsiTheme="minorEastAsia" w:eastAsiaTheme="minorEastAsia"/>
                <w:b/>
                <w:bCs/>
                <w:kern w:val="2"/>
                <w:sz w:val="24"/>
                <w:szCs w:val="22"/>
                <w:lang w:val="en-US" w:eastAsia="zh-CN"/>
              </w:rPr>
              <w:t>6、施工中须负责修复所有因施工损坏的设备设施。</w:t>
            </w:r>
          </w:p>
        </w:tc>
      </w:tr>
    </w:tbl>
    <w:p w14:paraId="34A2EE6F">
      <w:pPr>
        <w:rPr>
          <w:rFonts w:hint="default"/>
          <w:b w:val="0"/>
          <w:bCs w:val="0"/>
          <w:sz w:val="24"/>
          <w:szCs w:val="18"/>
          <w:u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NTdiMmQ3Nzg0YzBkODZkNzI1NzBlZGYwZDU5YzcifQ=="/>
  </w:docVars>
  <w:rsids>
    <w:rsidRoot w:val="00000000"/>
    <w:rsid w:val="01A10E0B"/>
    <w:rsid w:val="036B657F"/>
    <w:rsid w:val="058A5FA4"/>
    <w:rsid w:val="0DF017C7"/>
    <w:rsid w:val="0E9B265A"/>
    <w:rsid w:val="0F4B55A7"/>
    <w:rsid w:val="111523F0"/>
    <w:rsid w:val="117479FE"/>
    <w:rsid w:val="12C038A4"/>
    <w:rsid w:val="13097058"/>
    <w:rsid w:val="134E42CA"/>
    <w:rsid w:val="14D135A5"/>
    <w:rsid w:val="166B27A7"/>
    <w:rsid w:val="18627605"/>
    <w:rsid w:val="18DE5150"/>
    <w:rsid w:val="19545D54"/>
    <w:rsid w:val="1A48432A"/>
    <w:rsid w:val="1ACF42DC"/>
    <w:rsid w:val="1C2B2C32"/>
    <w:rsid w:val="214343B0"/>
    <w:rsid w:val="231244F3"/>
    <w:rsid w:val="235F038A"/>
    <w:rsid w:val="23D63257"/>
    <w:rsid w:val="251C65E9"/>
    <w:rsid w:val="25BA1949"/>
    <w:rsid w:val="262153B3"/>
    <w:rsid w:val="269A3AC0"/>
    <w:rsid w:val="29F34516"/>
    <w:rsid w:val="2AED3CFA"/>
    <w:rsid w:val="2AED7276"/>
    <w:rsid w:val="2B0C6847"/>
    <w:rsid w:val="2BF10492"/>
    <w:rsid w:val="2BF306FA"/>
    <w:rsid w:val="2C801F12"/>
    <w:rsid w:val="2DD6349D"/>
    <w:rsid w:val="2DD75374"/>
    <w:rsid w:val="2DE735DA"/>
    <w:rsid w:val="32B06A1A"/>
    <w:rsid w:val="33184235"/>
    <w:rsid w:val="33D90E9F"/>
    <w:rsid w:val="35B10CDD"/>
    <w:rsid w:val="37CE3A52"/>
    <w:rsid w:val="381241E1"/>
    <w:rsid w:val="38631120"/>
    <w:rsid w:val="3AEE6870"/>
    <w:rsid w:val="3B3A0411"/>
    <w:rsid w:val="3D157EFC"/>
    <w:rsid w:val="3D403B30"/>
    <w:rsid w:val="3E6805C8"/>
    <w:rsid w:val="3F7C7098"/>
    <w:rsid w:val="415F364A"/>
    <w:rsid w:val="44B85833"/>
    <w:rsid w:val="45E734A3"/>
    <w:rsid w:val="480E2340"/>
    <w:rsid w:val="48D817FF"/>
    <w:rsid w:val="4BA906F0"/>
    <w:rsid w:val="4D87108B"/>
    <w:rsid w:val="5285323E"/>
    <w:rsid w:val="53961186"/>
    <w:rsid w:val="53DF24DA"/>
    <w:rsid w:val="574F0527"/>
    <w:rsid w:val="58136C97"/>
    <w:rsid w:val="5CEB057A"/>
    <w:rsid w:val="61EC000C"/>
    <w:rsid w:val="640716B6"/>
    <w:rsid w:val="670C482E"/>
    <w:rsid w:val="68EE6A56"/>
    <w:rsid w:val="6A542940"/>
    <w:rsid w:val="6B6E155F"/>
    <w:rsid w:val="6B8E34E7"/>
    <w:rsid w:val="6DF130DE"/>
    <w:rsid w:val="6EA85071"/>
    <w:rsid w:val="6F564B86"/>
    <w:rsid w:val="72A050D2"/>
    <w:rsid w:val="72D274A5"/>
    <w:rsid w:val="73D56A03"/>
    <w:rsid w:val="756178A4"/>
    <w:rsid w:val="76335F8A"/>
    <w:rsid w:val="772611CE"/>
    <w:rsid w:val="774527A6"/>
    <w:rsid w:val="77902ED2"/>
    <w:rsid w:val="779B5425"/>
    <w:rsid w:val="77A103E0"/>
    <w:rsid w:val="797846B3"/>
    <w:rsid w:val="79B454EF"/>
    <w:rsid w:val="7AD67078"/>
    <w:rsid w:val="7BAA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宋体" w:hAnsi="宋体" w:eastAsia="宋体" w:cs="Times New Roman"/>
      <w:kern w:val="2"/>
      <w:sz w:val="24"/>
      <w:szCs w:val="22"/>
      <w:lang w:val="en-US" w:eastAsia="zh-CN" w:bidi="ar-SA"/>
    </w:rPr>
  </w:style>
  <w:style w:type="paragraph" w:styleId="3">
    <w:name w:val="heading 1"/>
    <w:basedOn w:val="1"/>
    <w:next w:val="1"/>
    <w:link w:val="15"/>
    <w:autoRedefine/>
    <w:qFormat/>
    <w:uiPriority w:val="0"/>
    <w:pPr>
      <w:keepNext/>
      <w:keepLines/>
      <w:spacing w:before="200" w:after="200" w:line="360" w:lineRule="auto"/>
      <w:outlineLvl w:val="0"/>
    </w:pPr>
    <w:rPr>
      <w:rFonts w:ascii="黑体" w:hAnsi="黑体" w:eastAsia="黑体"/>
      <w:kern w:val="44"/>
      <w:sz w:val="32"/>
      <w:szCs w:val="32"/>
    </w:rPr>
  </w:style>
  <w:style w:type="paragraph" w:styleId="4">
    <w:name w:val="heading 2"/>
    <w:basedOn w:val="1"/>
    <w:next w:val="1"/>
    <w:link w:val="14"/>
    <w:autoRedefine/>
    <w:semiHidden/>
    <w:unhideWhenUsed/>
    <w:qFormat/>
    <w:uiPriority w:val="0"/>
    <w:pPr>
      <w:keepNext/>
      <w:keepLines/>
      <w:spacing w:line="360" w:lineRule="auto"/>
      <w:outlineLvl w:val="1"/>
    </w:pPr>
    <w:rPr>
      <w:rFonts w:ascii="Arial" w:hAnsi="Arial" w:eastAsia="宋体"/>
      <w:b/>
      <w:sz w:val="28"/>
      <w:szCs w:val="20"/>
    </w:rPr>
  </w:style>
  <w:style w:type="paragraph" w:styleId="5">
    <w:name w:val="heading 3"/>
    <w:basedOn w:val="1"/>
    <w:next w:val="1"/>
    <w:link w:val="16"/>
    <w:autoRedefine/>
    <w:semiHidden/>
    <w:unhideWhenUsed/>
    <w:qFormat/>
    <w:uiPriority w:val="0"/>
    <w:pPr>
      <w:keepNext/>
      <w:keepLines/>
      <w:spacing w:line="360" w:lineRule="auto"/>
      <w:ind w:firstLine="0" w:firstLineChars="0"/>
      <w:outlineLvl w:val="2"/>
    </w:pPr>
    <w:rPr>
      <w:rFonts w:ascii="宋体" w:hAnsi="宋体" w:eastAsia="宋体" w:cs="Times New Roman"/>
      <w:b/>
      <w:szCs w:val="20"/>
    </w:rPr>
  </w:style>
  <w:style w:type="paragraph" w:styleId="6">
    <w:name w:val="heading 4"/>
    <w:basedOn w:val="1"/>
    <w:next w:val="1"/>
    <w:link w:val="17"/>
    <w:autoRedefine/>
    <w:semiHidden/>
    <w:unhideWhenUsed/>
    <w:qFormat/>
    <w:uiPriority w:val="0"/>
    <w:pPr>
      <w:keepNext/>
      <w:keepLines/>
      <w:spacing w:before="200" w:after="200" w:line="360" w:lineRule="auto"/>
      <w:outlineLvl w:val="3"/>
    </w:pPr>
    <w:rPr>
      <w:rFonts w:ascii="Cambria" w:hAnsi="Cambria"/>
      <w:b/>
      <w:bCs/>
      <w:sz w:val="24"/>
      <w:szCs w:val="28"/>
    </w:rPr>
  </w:style>
  <w:style w:type="character" w:default="1" w:styleId="13">
    <w:name w:val="Default Paragraph Font"/>
    <w:autoRedefine/>
    <w:unhideWhenUsed/>
    <w:qFormat/>
    <w:uiPriority w:val="1"/>
    <w:rPr>
      <w:rFonts w:hint="default"/>
      <w:sz w:val="24"/>
      <w:szCs w:val="24"/>
    </w:rPr>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7">
    <w:name w:val="Normal Indent"/>
    <w:basedOn w:val="1"/>
    <w:autoRedefine/>
    <w:qFormat/>
    <w:uiPriority w:val="0"/>
    <w:pPr>
      <w:ind w:firstLine="420" w:firstLineChars="200"/>
    </w:pPr>
  </w:style>
  <w:style w:type="paragraph" w:styleId="8">
    <w:name w:val="Body Text Indent"/>
    <w:basedOn w:val="1"/>
    <w:autoRedefine/>
    <w:qFormat/>
    <w:uiPriority w:val="0"/>
    <w:pPr>
      <w:spacing w:after="120" w:afterLines="0" w:afterAutospacing="0"/>
      <w:ind w:left="420" w:leftChars="200"/>
    </w:pPr>
  </w:style>
  <w:style w:type="paragraph" w:styleId="9">
    <w:name w:val="Body Text First Indent"/>
    <w:basedOn w:val="2"/>
    <w:autoRedefine/>
    <w:qFormat/>
    <w:uiPriority w:val="0"/>
    <w:pPr>
      <w:ind w:firstLine="420" w:firstLineChars="100"/>
    </w:pPr>
  </w:style>
  <w:style w:type="paragraph" w:styleId="10">
    <w:name w:val="Body Text First Indent 2"/>
    <w:basedOn w:val="8"/>
    <w:autoRedefine/>
    <w:qFormat/>
    <w:uiPriority w:val="0"/>
    <w:pPr>
      <w:ind w:firstLine="420" w:firstLineChars="200"/>
    </w:pPr>
  </w:style>
  <w:style w:type="table" w:styleId="12">
    <w:name w:val="Table Grid"/>
    <w:basedOn w:val="11"/>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字符"/>
    <w:link w:val="4"/>
    <w:autoRedefine/>
    <w:qFormat/>
    <w:uiPriority w:val="0"/>
    <w:rPr>
      <w:rFonts w:ascii="Arial" w:hAnsi="Arial" w:eastAsia="宋体" w:cs="Times New Roman"/>
      <w:b/>
      <w:bCs/>
      <w:kern w:val="2"/>
      <w:sz w:val="32"/>
      <w:szCs w:val="32"/>
    </w:rPr>
  </w:style>
  <w:style w:type="character" w:customStyle="1" w:styleId="15">
    <w:name w:val="标题 1 Char"/>
    <w:link w:val="3"/>
    <w:autoRedefine/>
    <w:qFormat/>
    <w:uiPriority w:val="0"/>
    <w:rPr>
      <w:rFonts w:ascii="黑体" w:hAnsi="黑体" w:eastAsia="黑体"/>
      <w:kern w:val="44"/>
      <w:sz w:val="32"/>
      <w:szCs w:val="32"/>
    </w:rPr>
  </w:style>
  <w:style w:type="character" w:customStyle="1" w:styleId="16">
    <w:name w:val="标题 3 Char"/>
    <w:link w:val="5"/>
    <w:autoRedefine/>
    <w:qFormat/>
    <w:uiPriority w:val="0"/>
    <w:rPr>
      <w:rFonts w:ascii="宋体" w:hAnsi="宋体" w:eastAsia="宋体" w:cs="Times New Roman"/>
      <w:b/>
      <w:bCs/>
      <w:kern w:val="2"/>
      <w:sz w:val="24"/>
      <w:szCs w:val="32"/>
    </w:rPr>
  </w:style>
  <w:style w:type="character" w:customStyle="1" w:styleId="17">
    <w:name w:val="标题 4 Char"/>
    <w:link w:val="6"/>
    <w:autoRedefine/>
    <w:qFormat/>
    <w:uiPriority w:val="0"/>
    <w:rPr>
      <w:rFonts w:ascii="Cambria" w:hAnsi="Cambria" w:eastAsia="宋体" w:cs="Times New Roman"/>
      <w:b/>
      <w:bCs/>
      <w:kern w:val="2"/>
      <w:sz w:val="24"/>
      <w:szCs w:val="28"/>
    </w:rPr>
  </w:style>
  <w:style w:type="table" w:customStyle="1" w:styleId="18">
    <w:name w:val="网格型2"/>
    <w:basedOn w:val="11"/>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xl31"/>
    <w:basedOn w:val="1"/>
    <w:autoRedefine/>
    <w:qFormat/>
    <w:uiPriority w:val="0"/>
    <w:pPr>
      <w:widowControl/>
      <w:spacing w:before="100" w:beforeAutospacing="1" w:after="100" w:afterAutospacing="1"/>
      <w:jc w:val="center"/>
    </w:pPr>
    <w:rPr>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2893</Words>
  <Characters>2958</Characters>
  <Lines>0</Lines>
  <Paragraphs>0</Paragraphs>
  <TotalTime>0</TotalTime>
  <ScaleCrop>false</ScaleCrop>
  <LinksUpToDate>false</LinksUpToDate>
  <CharactersWithSpaces>2961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2022-12-04T22:16:00Z</dcterms:created>
  <dc:creator>caochao</dc:creator>
  <cp:lastModifiedBy>cc</cp:lastModifiedBy>
  <dcterms:modified xsi:type="dcterms:W3CDTF">2024-09-06T06:10:11Z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0EDE2C31490D4E869607AB441519D989</vt:lpwstr>
  </property>
</Properties>
</file>