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57C8BF">
      <w:pPr>
        <w:pStyle w:val="5"/>
        <w:jc w:val="center"/>
        <w:rPr>
          <w:rFonts w:hint="eastAsia"/>
          <w:sz w:val="28"/>
          <w:szCs w:val="28"/>
        </w:rPr>
      </w:pPr>
      <w:r>
        <w:rPr>
          <w:rFonts w:hint="eastAsia"/>
          <w:sz w:val="28"/>
          <w:szCs w:val="28"/>
        </w:rPr>
        <w:t>采购需求</w:t>
      </w:r>
    </w:p>
    <w:p w14:paraId="55BD0401">
      <w:pPr>
        <w:spacing w:line="360" w:lineRule="auto"/>
        <w:rPr>
          <w:rFonts w:hint="eastAsia"/>
          <w:b/>
          <w:sz w:val="24"/>
        </w:rPr>
      </w:pPr>
      <w:r>
        <w:rPr>
          <w:rFonts w:hint="eastAsia"/>
          <w:b/>
          <w:sz w:val="24"/>
        </w:rPr>
        <w:t>前注：</w:t>
      </w:r>
    </w:p>
    <w:p w14:paraId="4F4F722E">
      <w:pPr>
        <w:spacing w:line="360" w:lineRule="auto"/>
        <w:ind w:firstLine="435"/>
        <w:rPr>
          <w:rFonts w:hint="eastAsia"/>
          <w:sz w:val="24"/>
        </w:rPr>
      </w:pPr>
      <w:r>
        <w:rPr>
          <w:rFonts w:hint="eastAsia"/>
          <w:sz w:val="24"/>
        </w:rPr>
        <w:t>1.</w:t>
      </w:r>
      <w:r>
        <w:rPr>
          <w:sz w:val="24"/>
        </w:rPr>
        <w:t>本采购需求中提出的</w:t>
      </w:r>
      <w:r>
        <w:rPr>
          <w:rFonts w:hint="eastAsia"/>
          <w:sz w:val="24"/>
        </w:rPr>
        <w:t>工程实施</w:t>
      </w:r>
      <w:r>
        <w:rPr>
          <w:sz w:val="24"/>
        </w:rPr>
        <w:t>方案仅为参考，如无明确限制，</w:t>
      </w:r>
      <w:r>
        <w:rPr>
          <w:rFonts w:hint="eastAsia"/>
          <w:sz w:val="24"/>
        </w:rPr>
        <w:t>供应商</w:t>
      </w:r>
      <w:r>
        <w:rPr>
          <w:sz w:val="24"/>
        </w:rPr>
        <w:t>可以进行优化，提供满足采购人实际需要的更优（或者性能实质上不低于的）</w:t>
      </w:r>
      <w:r>
        <w:rPr>
          <w:rFonts w:hint="eastAsia"/>
          <w:sz w:val="24"/>
        </w:rPr>
        <w:t>工程</w:t>
      </w:r>
      <w:r>
        <w:rPr>
          <w:sz w:val="24"/>
        </w:rPr>
        <w:t>实施方案，且此方案须经</w:t>
      </w:r>
      <w:r>
        <w:rPr>
          <w:rFonts w:hint="eastAsia"/>
          <w:sz w:val="24"/>
        </w:rPr>
        <w:t>比选小组</w:t>
      </w:r>
      <w:r>
        <w:rPr>
          <w:sz w:val="24"/>
        </w:rPr>
        <w:t>评审认可</w:t>
      </w:r>
      <w:r>
        <w:rPr>
          <w:rFonts w:hint="eastAsia"/>
          <w:sz w:val="24"/>
        </w:rPr>
        <w:t>。</w:t>
      </w:r>
    </w:p>
    <w:p w14:paraId="35DC240E">
      <w:pPr>
        <w:spacing w:line="360" w:lineRule="auto"/>
        <w:ind w:firstLine="435"/>
        <w:rPr>
          <w:rFonts w:ascii="Arial" w:hAnsi="Arial" w:cs="Arial"/>
          <w:sz w:val="24"/>
        </w:rPr>
      </w:pPr>
      <w:r>
        <w:rPr>
          <w:rFonts w:hint="eastAsia"/>
          <w:sz w:val="24"/>
          <w:szCs w:val="18"/>
        </w:rPr>
        <w:t>2.采购需求前附表中，</w:t>
      </w:r>
      <w:r>
        <w:rPr>
          <w:sz w:val="24"/>
          <w:szCs w:val="18"/>
        </w:rPr>
        <w:t>标注▲的</w:t>
      </w:r>
      <w:r>
        <w:rPr>
          <w:rFonts w:hint="eastAsia"/>
          <w:sz w:val="24"/>
          <w:szCs w:val="18"/>
        </w:rPr>
        <w:t>工程</w:t>
      </w:r>
      <w:r>
        <w:rPr>
          <w:rFonts w:hint="eastAsia" w:ascii="Arial" w:hAnsi="Arial" w:cs="Arial"/>
          <w:sz w:val="24"/>
        </w:rPr>
        <w:t>项目</w:t>
      </w:r>
      <w:r>
        <w:rPr>
          <w:rFonts w:ascii="Arial" w:hAnsi="Arial" w:cs="Arial"/>
          <w:sz w:val="24"/>
        </w:rPr>
        <w:t>，</w:t>
      </w:r>
      <w:r>
        <w:rPr>
          <w:rFonts w:hint="eastAsia" w:ascii="Arial" w:hAnsi="Arial" w:cs="Arial"/>
          <w:sz w:val="24"/>
        </w:rPr>
        <w:t>供应商</w:t>
      </w:r>
      <w:r>
        <w:rPr>
          <w:rFonts w:ascii="Arial" w:hAnsi="Arial" w:cs="Arial"/>
          <w:sz w:val="24"/>
        </w:rPr>
        <w:t>在</w:t>
      </w:r>
      <w:r>
        <w:rPr>
          <w:rFonts w:hint="eastAsia" w:ascii="Arial" w:hAnsi="Arial" w:cs="Arial"/>
          <w:sz w:val="24"/>
        </w:rPr>
        <w:t>响应</w:t>
      </w:r>
      <w:r>
        <w:rPr>
          <w:rFonts w:ascii="Arial" w:hAnsi="Arial" w:cs="Arial"/>
          <w:sz w:val="24"/>
        </w:rPr>
        <w:t>文件《主要</w:t>
      </w:r>
      <w:r>
        <w:rPr>
          <w:rFonts w:hint="eastAsia" w:ascii="Arial" w:hAnsi="Arial" w:cs="Arial"/>
          <w:sz w:val="24"/>
        </w:rPr>
        <w:t>成交标的</w:t>
      </w:r>
      <w:r>
        <w:rPr>
          <w:rFonts w:ascii="Arial" w:hAnsi="Arial" w:cs="Arial"/>
          <w:sz w:val="24"/>
        </w:rPr>
        <w:t>承诺函》中填写</w:t>
      </w:r>
      <w:r>
        <w:rPr>
          <w:rFonts w:hint="eastAsia" w:ascii="Arial" w:hAnsi="Arial" w:cs="Arial"/>
          <w:sz w:val="24"/>
        </w:rPr>
        <w:t>施工范围、施工工期、项目经理信息、执业证书信息。</w:t>
      </w:r>
    </w:p>
    <w:tbl>
      <w:tblPr>
        <w:tblStyle w:val="8"/>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1291"/>
        <w:gridCol w:w="6355"/>
      </w:tblGrid>
      <w:tr w14:paraId="4CD35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vAlign w:val="center"/>
          </w:tcPr>
          <w:p w14:paraId="596002A7">
            <w:pPr>
              <w:spacing w:line="360" w:lineRule="auto"/>
              <w:jc w:val="center"/>
              <w:rPr>
                <w:rFonts w:hint="eastAsia"/>
                <w:b/>
                <w:sz w:val="24"/>
              </w:rPr>
            </w:pPr>
            <w:r>
              <w:rPr>
                <w:rFonts w:hint="eastAsia"/>
                <w:b/>
                <w:sz w:val="24"/>
              </w:rPr>
              <w:t>序号</w:t>
            </w:r>
          </w:p>
        </w:tc>
        <w:tc>
          <w:tcPr>
            <w:tcW w:w="1291" w:type="dxa"/>
            <w:vAlign w:val="center"/>
          </w:tcPr>
          <w:p w14:paraId="5352AB24">
            <w:pPr>
              <w:spacing w:line="360" w:lineRule="auto"/>
              <w:ind w:firstLine="435"/>
              <w:jc w:val="center"/>
              <w:rPr>
                <w:rFonts w:hint="eastAsia"/>
                <w:b/>
                <w:sz w:val="24"/>
              </w:rPr>
            </w:pPr>
            <w:r>
              <w:rPr>
                <w:rFonts w:hint="eastAsia"/>
                <w:b/>
                <w:sz w:val="24"/>
              </w:rPr>
              <w:t>内容</w:t>
            </w:r>
          </w:p>
        </w:tc>
        <w:tc>
          <w:tcPr>
            <w:tcW w:w="6355" w:type="dxa"/>
            <w:vAlign w:val="center"/>
          </w:tcPr>
          <w:p w14:paraId="257C6231">
            <w:pPr>
              <w:spacing w:line="360" w:lineRule="auto"/>
              <w:ind w:firstLine="435"/>
              <w:jc w:val="center"/>
              <w:rPr>
                <w:rFonts w:hint="eastAsia"/>
                <w:b/>
                <w:sz w:val="24"/>
              </w:rPr>
            </w:pPr>
            <w:r>
              <w:rPr>
                <w:rFonts w:hint="eastAsia"/>
                <w:b/>
                <w:sz w:val="24"/>
              </w:rPr>
              <w:t>说明和要求</w:t>
            </w:r>
          </w:p>
        </w:tc>
      </w:tr>
      <w:tr w14:paraId="57FCE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vAlign w:val="center"/>
          </w:tcPr>
          <w:p w14:paraId="63A984BF">
            <w:pPr>
              <w:spacing w:line="360" w:lineRule="auto"/>
              <w:jc w:val="center"/>
              <w:rPr>
                <w:rFonts w:hint="eastAsia"/>
                <w:b/>
                <w:sz w:val="24"/>
              </w:rPr>
            </w:pPr>
            <w:r>
              <w:rPr>
                <w:rFonts w:hint="eastAsia"/>
                <w:bCs/>
                <w:sz w:val="24"/>
              </w:rPr>
              <w:t>1</w:t>
            </w:r>
          </w:p>
        </w:tc>
        <w:tc>
          <w:tcPr>
            <w:tcW w:w="1291" w:type="dxa"/>
            <w:vAlign w:val="center"/>
          </w:tcPr>
          <w:p w14:paraId="79567C95">
            <w:pPr>
              <w:spacing w:line="360" w:lineRule="auto"/>
              <w:rPr>
                <w:rFonts w:hint="eastAsia"/>
                <w:bCs/>
                <w:sz w:val="24"/>
              </w:rPr>
            </w:pPr>
            <w:r>
              <w:rPr>
                <w:rFonts w:hint="eastAsia"/>
                <w:bCs/>
                <w:sz w:val="24"/>
              </w:rPr>
              <w:t>工程项目</w:t>
            </w:r>
          </w:p>
        </w:tc>
        <w:tc>
          <w:tcPr>
            <w:tcW w:w="6355" w:type="dxa"/>
            <w:vAlign w:val="center"/>
          </w:tcPr>
          <w:p w14:paraId="05F6613C">
            <w:pPr>
              <w:spacing w:line="360" w:lineRule="auto"/>
              <w:rPr>
                <w:rFonts w:hint="eastAsia"/>
                <w:bCs/>
                <w:sz w:val="24"/>
              </w:rPr>
            </w:pPr>
            <w:r>
              <w:rPr>
                <w:rFonts w:hint="eastAsia"/>
                <w:bCs/>
                <w:sz w:val="24"/>
              </w:rPr>
              <w:t>▲合肥工业大学材料楼公共厕所修缮改造项目</w:t>
            </w:r>
          </w:p>
        </w:tc>
      </w:tr>
      <w:tr w14:paraId="4B638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vAlign w:val="center"/>
          </w:tcPr>
          <w:p w14:paraId="1D1FC72C">
            <w:pPr>
              <w:spacing w:line="360" w:lineRule="auto"/>
              <w:jc w:val="center"/>
              <w:rPr>
                <w:rFonts w:hint="eastAsia"/>
                <w:b/>
                <w:sz w:val="24"/>
              </w:rPr>
            </w:pPr>
            <w:r>
              <w:rPr>
                <w:rFonts w:hint="eastAsia"/>
                <w:bCs/>
                <w:sz w:val="24"/>
              </w:rPr>
              <w:t>2</w:t>
            </w:r>
          </w:p>
        </w:tc>
        <w:tc>
          <w:tcPr>
            <w:tcW w:w="1291" w:type="dxa"/>
            <w:vAlign w:val="center"/>
          </w:tcPr>
          <w:p w14:paraId="6728B195">
            <w:pPr>
              <w:spacing w:line="360" w:lineRule="auto"/>
              <w:rPr>
                <w:rFonts w:hint="eastAsia"/>
                <w:bCs/>
                <w:sz w:val="24"/>
              </w:rPr>
            </w:pPr>
            <w:r>
              <w:rPr>
                <w:rFonts w:hint="eastAsia"/>
                <w:bCs/>
                <w:sz w:val="24"/>
              </w:rPr>
              <w:t>工程地点</w:t>
            </w:r>
          </w:p>
        </w:tc>
        <w:tc>
          <w:tcPr>
            <w:tcW w:w="6355" w:type="dxa"/>
            <w:vAlign w:val="center"/>
          </w:tcPr>
          <w:p w14:paraId="1F318FBA">
            <w:pPr>
              <w:spacing w:line="360" w:lineRule="auto"/>
              <w:rPr>
                <w:rFonts w:hint="eastAsia"/>
                <w:bCs/>
                <w:sz w:val="24"/>
              </w:rPr>
            </w:pPr>
            <w:r>
              <w:rPr>
                <w:rFonts w:hint="eastAsia"/>
                <w:bCs/>
                <w:sz w:val="24"/>
              </w:rPr>
              <w:t>安徽省合肥市合肥工业大学屯溪路校区</w:t>
            </w:r>
          </w:p>
        </w:tc>
      </w:tr>
      <w:tr w14:paraId="77AF5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vAlign w:val="center"/>
          </w:tcPr>
          <w:p w14:paraId="44AFC54E">
            <w:pPr>
              <w:spacing w:line="360" w:lineRule="auto"/>
              <w:jc w:val="center"/>
              <w:rPr>
                <w:rFonts w:hint="eastAsia"/>
                <w:b/>
                <w:sz w:val="24"/>
              </w:rPr>
            </w:pPr>
            <w:r>
              <w:rPr>
                <w:rFonts w:hint="eastAsia"/>
                <w:bCs/>
                <w:sz w:val="24"/>
              </w:rPr>
              <w:t>3</w:t>
            </w:r>
          </w:p>
        </w:tc>
        <w:tc>
          <w:tcPr>
            <w:tcW w:w="1291" w:type="dxa"/>
            <w:vAlign w:val="center"/>
          </w:tcPr>
          <w:p w14:paraId="26312A9D">
            <w:pPr>
              <w:spacing w:line="360" w:lineRule="auto"/>
              <w:rPr>
                <w:rFonts w:hint="eastAsia"/>
                <w:b/>
                <w:sz w:val="24"/>
              </w:rPr>
            </w:pPr>
            <w:r>
              <w:rPr>
                <w:rFonts w:hint="eastAsia"/>
                <w:bCs/>
                <w:sz w:val="24"/>
              </w:rPr>
              <w:t>计划工期</w:t>
            </w:r>
          </w:p>
        </w:tc>
        <w:tc>
          <w:tcPr>
            <w:tcW w:w="6355" w:type="dxa"/>
            <w:vAlign w:val="center"/>
          </w:tcPr>
          <w:p w14:paraId="473C8461">
            <w:pPr>
              <w:spacing w:line="360" w:lineRule="auto"/>
              <w:rPr>
                <w:rFonts w:hint="eastAsia"/>
                <w:b/>
                <w:sz w:val="24"/>
              </w:rPr>
            </w:pPr>
            <w:r>
              <w:rPr>
                <w:rFonts w:hint="eastAsia"/>
                <w:bCs/>
                <w:sz w:val="24"/>
              </w:rPr>
              <w:t>60日历天，满足竣工验收条件</w:t>
            </w:r>
          </w:p>
        </w:tc>
      </w:tr>
      <w:tr w14:paraId="6F854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vAlign w:val="center"/>
          </w:tcPr>
          <w:p w14:paraId="1BDD7540">
            <w:pPr>
              <w:spacing w:line="360" w:lineRule="auto"/>
              <w:jc w:val="center"/>
              <w:rPr>
                <w:rFonts w:hint="eastAsia"/>
                <w:b/>
                <w:sz w:val="24"/>
              </w:rPr>
            </w:pPr>
            <w:r>
              <w:rPr>
                <w:rFonts w:hint="eastAsia"/>
                <w:bCs/>
                <w:sz w:val="24"/>
              </w:rPr>
              <w:t>4</w:t>
            </w:r>
          </w:p>
        </w:tc>
        <w:tc>
          <w:tcPr>
            <w:tcW w:w="1291" w:type="dxa"/>
            <w:vAlign w:val="center"/>
          </w:tcPr>
          <w:p w14:paraId="19E7E79A">
            <w:pPr>
              <w:spacing w:line="360" w:lineRule="auto"/>
              <w:jc w:val="left"/>
              <w:rPr>
                <w:rFonts w:hint="eastAsia"/>
                <w:b/>
                <w:sz w:val="24"/>
              </w:rPr>
            </w:pPr>
            <w:r>
              <w:rPr>
                <w:rFonts w:hint="eastAsia"/>
                <w:bCs/>
                <w:sz w:val="24"/>
              </w:rPr>
              <w:t>工程质量</w:t>
            </w:r>
          </w:p>
        </w:tc>
        <w:tc>
          <w:tcPr>
            <w:tcW w:w="6355" w:type="dxa"/>
            <w:vAlign w:val="center"/>
          </w:tcPr>
          <w:p w14:paraId="70ACC021">
            <w:pPr>
              <w:pStyle w:val="10"/>
              <w:widowControl w:val="0"/>
              <w:spacing w:before="0" w:beforeAutospacing="0" w:after="0" w:afterAutospacing="0" w:line="360" w:lineRule="auto"/>
              <w:jc w:val="left"/>
              <w:rPr>
                <w:rFonts w:hint="eastAsia" w:cs="宋体"/>
                <w:b w:val="0"/>
                <w:sz w:val="24"/>
                <w:szCs w:val="24"/>
              </w:rPr>
            </w:pPr>
            <w:r>
              <w:rPr>
                <w:rFonts w:hint="eastAsia" w:cs="宋体"/>
                <w:b w:val="0"/>
                <w:sz w:val="24"/>
                <w:szCs w:val="24"/>
              </w:rPr>
              <w:t xml:space="preserve">合格，符合现行规范及标准。 </w:t>
            </w:r>
          </w:p>
          <w:p w14:paraId="2E53B33E">
            <w:pPr>
              <w:widowControl/>
              <w:spacing w:line="360" w:lineRule="auto"/>
              <w:jc w:val="left"/>
              <w:rPr>
                <w:rFonts w:hint="eastAsia" w:cs="宋体"/>
                <w:bCs/>
                <w:sz w:val="24"/>
                <w:szCs w:val="24"/>
              </w:rPr>
            </w:pPr>
            <w:r>
              <w:rPr>
                <w:rFonts w:hint="eastAsia" w:cs="宋体"/>
                <w:bCs/>
                <w:sz w:val="24"/>
                <w:szCs w:val="24"/>
              </w:rPr>
              <w:t>本项目免费质量保证期要求不低于5年，其中防水、保温部分不低于</w:t>
            </w:r>
            <w:r>
              <w:rPr>
                <w:rFonts w:cs="宋体"/>
                <w:bCs/>
                <w:sz w:val="24"/>
                <w:szCs w:val="24"/>
              </w:rPr>
              <w:t>15</w:t>
            </w:r>
            <w:r>
              <w:rPr>
                <w:rFonts w:hint="eastAsia" w:cs="宋体"/>
                <w:bCs/>
                <w:sz w:val="24"/>
                <w:szCs w:val="24"/>
              </w:rPr>
              <w:t>年。免费质量保证期从工程竣工验收合格后开始计算。免费质量保证期以整个项目为单位进行响应。</w:t>
            </w:r>
          </w:p>
          <w:p w14:paraId="5C1011BC">
            <w:pPr>
              <w:spacing w:line="360" w:lineRule="auto"/>
              <w:rPr>
                <w:rFonts w:hint="eastAsia"/>
                <w:bCs/>
                <w:sz w:val="24"/>
              </w:rPr>
            </w:pPr>
            <w:r>
              <w:rPr>
                <w:rFonts w:hint="eastAsia" w:cs="宋体"/>
                <w:bCs/>
                <w:sz w:val="24"/>
                <w:szCs w:val="24"/>
              </w:rPr>
              <w:t>缺陷责任期：自竣工验收合格之日起两年。</w:t>
            </w:r>
          </w:p>
        </w:tc>
      </w:tr>
      <w:tr w14:paraId="058D2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vAlign w:val="center"/>
          </w:tcPr>
          <w:p w14:paraId="67DBCB49">
            <w:pPr>
              <w:spacing w:line="360" w:lineRule="auto"/>
              <w:jc w:val="center"/>
              <w:rPr>
                <w:rFonts w:hint="eastAsia"/>
                <w:b/>
                <w:sz w:val="24"/>
              </w:rPr>
            </w:pPr>
            <w:r>
              <w:rPr>
                <w:rFonts w:hint="eastAsia"/>
                <w:bCs/>
                <w:sz w:val="24"/>
              </w:rPr>
              <w:t>5</w:t>
            </w:r>
          </w:p>
        </w:tc>
        <w:tc>
          <w:tcPr>
            <w:tcW w:w="1291" w:type="dxa"/>
            <w:vAlign w:val="center"/>
          </w:tcPr>
          <w:p w14:paraId="76129724">
            <w:pPr>
              <w:spacing w:line="360" w:lineRule="auto"/>
              <w:jc w:val="left"/>
              <w:rPr>
                <w:rFonts w:hint="eastAsia"/>
                <w:b/>
                <w:sz w:val="24"/>
              </w:rPr>
            </w:pPr>
            <w:r>
              <w:rPr>
                <w:rFonts w:hint="eastAsia"/>
                <w:bCs/>
                <w:sz w:val="24"/>
              </w:rPr>
              <w:t>付款方式</w:t>
            </w:r>
          </w:p>
        </w:tc>
        <w:tc>
          <w:tcPr>
            <w:tcW w:w="6355" w:type="dxa"/>
            <w:vAlign w:val="center"/>
          </w:tcPr>
          <w:p w14:paraId="423D484C">
            <w:pPr>
              <w:spacing w:line="360" w:lineRule="auto"/>
              <w:rPr>
                <w:rFonts w:hint="eastAsia"/>
                <w:b/>
                <w:sz w:val="24"/>
              </w:rPr>
            </w:pPr>
            <w:r>
              <w:rPr>
                <w:rFonts w:hint="eastAsia" w:cs="@微软简标宋"/>
                <w:bCs/>
                <w:kern w:val="2"/>
                <w:sz w:val="24"/>
              </w:rPr>
              <w:t>预付款为签约合同价（扣除暂列金）的30% （支付预付款前须提供同等金额的不可撤销、见索即付银行保函</w:t>
            </w:r>
            <w:r>
              <w:rPr>
                <w:rFonts w:hint="eastAsia" w:cs="Times New Roman"/>
                <w:kern w:val="2"/>
                <w:sz w:val="21"/>
                <w:szCs w:val="24"/>
              </w:rPr>
              <w:t>（</w:t>
            </w:r>
            <w:r>
              <w:rPr>
                <w:rFonts w:hint="eastAsia" w:cs="宋体"/>
                <w:bCs/>
                <w:sz w:val="24"/>
                <w:szCs w:val="24"/>
              </w:rPr>
              <w:t>或担保机构担保或保证保险</w:t>
            </w:r>
            <w:r>
              <w:rPr>
                <w:rFonts w:hint="eastAsia" w:cs="@微软简标宋"/>
                <w:bCs/>
                <w:kern w:val="2"/>
                <w:sz w:val="24"/>
              </w:rPr>
              <w:t>)且保函自出具之日起时效性不低于两个月），工程竣工验收合格付至签</w:t>
            </w:r>
            <w:r>
              <w:rPr>
                <w:rFonts w:hint="eastAsia" w:cs="@微软简标宋"/>
                <w:bCs/>
                <w:color w:val="000000"/>
                <w:kern w:val="2"/>
                <w:sz w:val="24"/>
              </w:rPr>
              <w:t>约合同价的85% （扣除暂列金后），</w:t>
            </w:r>
            <w:r>
              <w:rPr>
                <w:rFonts w:hint="eastAsia" w:cs="@微软简标宋"/>
                <w:bCs/>
                <w:kern w:val="2"/>
                <w:sz w:val="24"/>
              </w:rPr>
              <w:t>审计完毕后乙方缴纳审定额的3% 作为质保金,</w:t>
            </w:r>
            <w:r>
              <w:rPr>
                <w:rFonts w:hint="eastAsia" w:cs="@微软简标宋"/>
                <w:bCs/>
                <w:sz w:val="24"/>
              </w:rPr>
              <w:t>发包人向承包人一次性支付余款。</w:t>
            </w:r>
          </w:p>
        </w:tc>
      </w:tr>
      <w:tr w14:paraId="1ACE1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vAlign w:val="center"/>
          </w:tcPr>
          <w:p w14:paraId="1462167D">
            <w:pPr>
              <w:spacing w:line="360" w:lineRule="auto"/>
              <w:jc w:val="center"/>
              <w:rPr>
                <w:rFonts w:hint="eastAsia"/>
                <w:sz w:val="24"/>
              </w:rPr>
            </w:pPr>
            <w:r>
              <w:rPr>
                <w:rFonts w:hint="eastAsia"/>
                <w:sz w:val="24"/>
              </w:rPr>
              <w:t>6</w:t>
            </w:r>
          </w:p>
        </w:tc>
        <w:tc>
          <w:tcPr>
            <w:tcW w:w="1291" w:type="dxa"/>
            <w:vAlign w:val="center"/>
          </w:tcPr>
          <w:p w14:paraId="1205665F">
            <w:pPr>
              <w:spacing w:line="360" w:lineRule="auto"/>
              <w:rPr>
                <w:rFonts w:hint="eastAsia"/>
                <w:sz w:val="24"/>
              </w:rPr>
            </w:pPr>
            <w:r>
              <w:rPr>
                <w:rFonts w:hint="eastAsia"/>
                <w:sz w:val="24"/>
              </w:rPr>
              <w:t>人员到岗及履约要求</w:t>
            </w:r>
          </w:p>
        </w:tc>
        <w:tc>
          <w:tcPr>
            <w:tcW w:w="6355" w:type="dxa"/>
            <w:vAlign w:val="center"/>
          </w:tcPr>
          <w:p w14:paraId="7434FD63">
            <w:pPr>
              <w:spacing w:line="360" w:lineRule="auto"/>
              <w:rPr>
                <w:rFonts w:hint="eastAsia"/>
                <w:sz w:val="24"/>
              </w:rPr>
            </w:pPr>
            <w:r>
              <w:rPr>
                <w:rFonts w:hint="eastAsia"/>
                <w:sz w:val="24"/>
              </w:rPr>
              <w:t>（1）供应商一旦成交，响应时所报的本项目的项目经理、施工现场技术负责人、各专业负责工程师及施工机械等在整个项目施工期内必须在位，否则采购人有权终止合同。由此造成的损失，成交供应商自行承担并赔偿可能给采购人造成的损失。</w:t>
            </w:r>
          </w:p>
          <w:p w14:paraId="2FE9A59E">
            <w:pPr>
              <w:spacing w:line="360" w:lineRule="auto"/>
              <w:rPr>
                <w:rFonts w:hint="eastAsia"/>
                <w:sz w:val="24"/>
              </w:rPr>
            </w:pPr>
            <w:r>
              <w:rPr>
                <w:rFonts w:hint="eastAsia"/>
                <w:sz w:val="24"/>
              </w:rPr>
              <w:t>（2）成交供应商不得擅自更换响应时所报项目经理及项目部主要管理人员。确需更换时，须报采购人同意，更换后人员不得低于成交供应商响应时所报人员资质和技术水平。采购人如认为有必要，可要求对上述人员中的部分人员作出更好的调整。</w:t>
            </w:r>
          </w:p>
          <w:p w14:paraId="3183728B">
            <w:pPr>
              <w:spacing w:line="360" w:lineRule="auto"/>
              <w:rPr>
                <w:rFonts w:hint="eastAsia"/>
                <w:sz w:val="24"/>
              </w:rPr>
            </w:pPr>
            <w:r>
              <w:rPr>
                <w:rFonts w:hint="eastAsia"/>
                <w:sz w:val="24"/>
              </w:rPr>
              <w:t>（3）成交供应商未能按照承诺到岗尽职的，采购人将视情况严重程度对其作出相应处理，给予警告并发出整改通知。如仍未及时整改，采购人有权责令其停工整改、直至终止合同，引进新的承包人。采购人还将停止支付工程款项，扣留任何未付的工程进度款项补偿建设单位的有关损失或工期延误的损失，并就此向承包人索赔。</w:t>
            </w:r>
          </w:p>
        </w:tc>
      </w:tr>
      <w:tr w14:paraId="10E01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vAlign w:val="center"/>
          </w:tcPr>
          <w:p w14:paraId="6F6E8E13">
            <w:pPr>
              <w:spacing w:line="360" w:lineRule="auto"/>
              <w:jc w:val="center"/>
              <w:rPr>
                <w:rFonts w:hint="eastAsia"/>
                <w:sz w:val="24"/>
              </w:rPr>
            </w:pPr>
            <w:r>
              <w:rPr>
                <w:rFonts w:hint="eastAsia"/>
                <w:sz w:val="24"/>
              </w:rPr>
              <w:t>7</w:t>
            </w:r>
          </w:p>
        </w:tc>
        <w:tc>
          <w:tcPr>
            <w:tcW w:w="1291" w:type="dxa"/>
            <w:vAlign w:val="center"/>
          </w:tcPr>
          <w:p w14:paraId="7F4D6D61">
            <w:pPr>
              <w:pStyle w:val="10"/>
              <w:widowControl w:val="0"/>
              <w:spacing w:before="0" w:beforeAutospacing="0" w:after="0" w:afterAutospacing="0" w:line="360" w:lineRule="auto"/>
              <w:jc w:val="both"/>
              <w:rPr>
                <w:rFonts w:hint="eastAsia"/>
                <w:b w:val="0"/>
                <w:bCs w:val="0"/>
                <w:kern w:val="2"/>
                <w:sz w:val="24"/>
                <w:szCs w:val="20"/>
              </w:rPr>
            </w:pPr>
            <w:r>
              <w:rPr>
                <w:rFonts w:hint="eastAsia"/>
                <w:b w:val="0"/>
                <w:bCs w:val="0"/>
                <w:kern w:val="2"/>
                <w:sz w:val="24"/>
                <w:szCs w:val="20"/>
              </w:rPr>
              <w:t>材料要求</w:t>
            </w:r>
          </w:p>
        </w:tc>
        <w:tc>
          <w:tcPr>
            <w:tcW w:w="6355" w:type="dxa"/>
            <w:vAlign w:val="center"/>
          </w:tcPr>
          <w:p w14:paraId="586A1374">
            <w:pPr>
              <w:pStyle w:val="10"/>
              <w:widowControl w:val="0"/>
              <w:spacing w:before="0" w:beforeAutospacing="0" w:after="0" w:afterAutospacing="0" w:line="360" w:lineRule="auto"/>
              <w:jc w:val="both"/>
              <w:rPr>
                <w:rFonts w:hint="eastAsia"/>
                <w:b w:val="0"/>
                <w:bCs w:val="0"/>
                <w:kern w:val="2"/>
                <w:sz w:val="24"/>
                <w:szCs w:val="20"/>
              </w:rPr>
            </w:pPr>
            <w:r>
              <w:rPr>
                <w:rFonts w:hint="eastAsia"/>
                <w:b w:val="0"/>
                <w:bCs w:val="0"/>
                <w:kern w:val="2"/>
                <w:sz w:val="24"/>
                <w:szCs w:val="20"/>
              </w:rPr>
              <w:t>（1）成交供应商自行采购的材料应满足设计和规范要求的质量等级，并须按有关技术规范要求对材料质量进行检验。成交供应商选定的材料供应厂家和价格须经采购人和监理单位认可。如采购人和监理单位对某种或某些材料的质量有异议，有权提出停止使用的要求，成交供应商必须服从该要求。若该材料经权威检验部门鉴定确有质量问题，由此而发生的一切费用由成交供应商自负。因成交供应商自行采购的材料质量引起的工程质量问题由成交供应商承担所造成的一切损失。</w:t>
            </w:r>
          </w:p>
          <w:p w14:paraId="787934A9">
            <w:pPr>
              <w:pStyle w:val="10"/>
              <w:widowControl w:val="0"/>
              <w:spacing w:before="0" w:beforeAutospacing="0" w:after="0" w:afterAutospacing="0" w:line="360" w:lineRule="auto"/>
              <w:jc w:val="both"/>
              <w:rPr>
                <w:rFonts w:hint="eastAsia"/>
                <w:b w:val="0"/>
                <w:bCs w:val="0"/>
                <w:kern w:val="2"/>
                <w:sz w:val="24"/>
                <w:szCs w:val="20"/>
              </w:rPr>
            </w:pPr>
            <w:r>
              <w:rPr>
                <w:rFonts w:hint="eastAsia"/>
                <w:b w:val="0"/>
                <w:bCs w:val="0"/>
                <w:kern w:val="2"/>
                <w:sz w:val="24"/>
                <w:szCs w:val="20"/>
              </w:rPr>
              <w:t>（2）如本项目采购人对工程质量有特殊需求的，对主要设备及材料提供不少于三个的参考品牌，对于采购人参考品牌的材料，供应商可选用参考品牌或不低于参考品牌质量标准的其它品牌；采用其它品牌的应在响应文件中提供相关技术参数证明材料供比选小组评审，未提供相关技术参数证明材料或经比选小组评审未通过的，成交后只能从采购人参考品牌中进行选择，价格不予调整。</w:t>
            </w:r>
          </w:p>
          <w:p w14:paraId="5CE62A55">
            <w:pPr>
              <w:pStyle w:val="10"/>
              <w:widowControl w:val="0"/>
              <w:spacing w:before="0" w:beforeAutospacing="0" w:after="0" w:afterAutospacing="0" w:line="360" w:lineRule="auto"/>
              <w:jc w:val="both"/>
              <w:rPr>
                <w:rFonts w:hint="eastAsia"/>
                <w:b w:val="0"/>
                <w:bCs w:val="0"/>
                <w:kern w:val="2"/>
                <w:sz w:val="24"/>
                <w:szCs w:val="20"/>
              </w:rPr>
            </w:pPr>
            <w:r>
              <w:rPr>
                <w:rFonts w:hint="eastAsia"/>
                <w:b w:val="0"/>
                <w:bCs w:val="0"/>
                <w:kern w:val="2"/>
                <w:sz w:val="24"/>
                <w:szCs w:val="20"/>
              </w:rPr>
              <w:t>（3）对于采购人参考品牌的材料，</w:t>
            </w:r>
            <w:r>
              <w:rPr>
                <w:b w:val="0"/>
                <w:bCs w:val="0"/>
                <w:kern w:val="2"/>
                <w:sz w:val="24"/>
                <w:szCs w:val="20"/>
              </w:rPr>
              <w:t>供应商</w:t>
            </w:r>
            <w:r>
              <w:rPr>
                <w:rFonts w:hint="eastAsia"/>
                <w:b w:val="0"/>
                <w:bCs w:val="0"/>
                <w:kern w:val="2"/>
                <w:sz w:val="24"/>
                <w:szCs w:val="20"/>
              </w:rPr>
              <w:t>如认为参考品牌有限定性、唯一性、明显不在同一档次等级的或者其他异议的，应在本项目询问截止时间前以书面方式提交给采购人或代理机构。</w:t>
            </w:r>
          </w:p>
          <w:p w14:paraId="04F2F14C">
            <w:pPr>
              <w:pStyle w:val="10"/>
              <w:widowControl w:val="0"/>
              <w:spacing w:before="0" w:beforeAutospacing="0" w:after="0" w:afterAutospacing="0" w:line="360" w:lineRule="auto"/>
              <w:jc w:val="both"/>
              <w:rPr>
                <w:rFonts w:asciiTheme="minorHAnsi" w:hAnsiTheme="minorHAnsi" w:eastAsiaTheme="minorEastAsia"/>
                <w:kern w:val="2"/>
                <w:sz w:val="24"/>
                <w:szCs w:val="22"/>
              </w:rPr>
            </w:pPr>
            <w:r>
              <w:rPr>
                <w:rFonts w:hint="eastAsia" w:cs="@仿宋_GB2312" w:asciiTheme="minorEastAsia" w:hAnsiTheme="minorEastAsia" w:eastAsiaTheme="minorEastAsia"/>
                <w:kern w:val="2"/>
                <w:sz w:val="24"/>
                <w:szCs w:val="22"/>
              </w:rPr>
              <w:t>（4）满足</w:t>
            </w:r>
            <w:r>
              <w:rPr>
                <w:rFonts w:hint="eastAsia" w:asciiTheme="minorHAnsi" w:hAnsiTheme="minorHAnsi" w:eastAsiaTheme="minorEastAsia"/>
                <w:kern w:val="2"/>
                <w:sz w:val="24"/>
                <w:szCs w:val="22"/>
              </w:rPr>
              <w:t>《财政部发展改革委</w:t>
            </w:r>
            <w:r>
              <w:rPr>
                <w:rFonts w:asciiTheme="minorHAnsi" w:hAnsiTheme="minorHAnsi" w:eastAsiaTheme="minorEastAsia"/>
                <w:kern w:val="2"/>
                <w:sz w:val="24"/>
                <w:szCs w:val="22"/>
              </w:rPr>
              <w:t>生态环境部市场监管总局关于调整优化节能产品环境标志产品政府采购执行机制的通知》（财库〔2019〕9号）</w:t>
            </w:r>
            <w:r>
              <w:rPr>
                <w:rFonts w:hint="eastAsia" w:asciiTheme="minorHAnsi" w:hAnsiTheme="minorHAnsi" w:eastAsiaTheme="minorEastAsia"/>
                <w:kern w:val="2"/>
                <w:sz w:val="24"/>
                <w:szCs w:val="22"/>
              </w:rPr>
              <w:t>及《关于印发节能产品政府采购品目清单的通知》</w:t>
            </w:r>
            <w:r>
              <w:rPr>
                <w:rFonts w:asciiTheme="minorHAnsi" w:hAnsiTheme="minorHAnsi" w:eastAsiaTheme="minorEastAsia"/>
                <w:kern w:val="2"/>
                <w:sz w:val="24"/>
                <w:szCs w:val="22"/>
              </w:rPr>
              <w:t>（财库〔2019〕</w:t>
            </w:r>
            <w:r>
              <w:rPr>
                <w:rFonts w:hint="eastAsia" w:asciiTheme="minorHAnsi" w:hAnsiTheme="minorHAnsi" w:eastAsiaTheme="minorEastAsia"/>
                <w:kern w:val="2"/>
                <w:sz w:val="24"/>
                <w:szCs w:val="22"/>
              </w:rPr>
              <w:t>1</w:t>
            </w:r>
            <w:r>
              <w:rPr>
                <w:rFonts w:asciiTheme="minorHAnsi" w:hAnsiTheme="minorHAnsi" w:eastAsiaTheme="minorEastAsia"/>
                <w:kern w:val="2"/>
                <w:sz w:val="24"/>
                <w:szCs w:val="22"/>
              </w:rPr>
              <w:t>9号）</w:t>
            </w:r>
            <w:r>
              <w:rPr>
                <w:rFonts w:hint="eastAsia" w:asciiTheme="minorHAnsi" w:hAnsiTheme="minorHAnsi" w:eastAsiaTheme="minorEastAsia"/>
                <w:kern w:val="2"/>
                <w:sz w:val="24"/>
                <w:szCs w:val="22"/>
              </w:rPr>
              <w:t>相关要求。</w:t>
            </w:r>
          </w:p>
          <w:p w14:paraId="771FB218">
            <w:pPr>
              <w:pStyle w:val="6"/>
              <w:adjustRightInd w:val="0"/>
              <w:snapToGrid w:val="0"/>
              <w:spacing w:line="360" w:lineRule="auto"/>
              <w:jc w:val="left"/>
              <w:rPr>
                <w:rFonts w:hint="eastAsia" w:ascii="宋体" w:hAnsi="宋体" w:eastAsia="宋体"/>
                <w:bCs/>
                <w:kern w:val="2"/>
                <w:sz w:val="24"/>
                <w:szCs w:val="20"/>
                <w:lang w:val="en-US"/>
              </w:rPr>
            </w:pPr>
            <w:r>
              <w:rPr>
                <w:rFonts w:hint="eastAsia" w:ascii="宋体" w:hAnsi="宋体" w:eastAsia="宋体"/>
                <w:bCs/>
                <w:kern w:val="2"/>
                <w:sz w:val="24"/>
                <w:szCs w:val="20"/>
                <w:lang w:val="en-US"/>
              </w:rPr>
              <w:t>（</w:t>
            </w:r>
            <w:r>
              <w:rPr>
                <w:rFonts w:ascii="宋体" w:hAnsi="宋体" w:eastAsia="宋体"/>
                <w:bCs/>
                <w:kern w:val="2"/>
                <w:sz w:val="24"/>
                <w:szCs w:val="20"/>
                <w:lang w:val="en-US"/>
              </w:rPr>
              <w:t>5</w:t>
            </w:r>
            <w:r>
              <w:rPr>
                <w:rFonts w:hint="eastAsia" w:ascii="宋体" w:hAnsi="宋体" w:eastAsia="宋体"/>
                <w:bCs/>
                <w:kern w:val="2"/>
                <w:sz w:val="24"/>
                <w:szCs w:val="20"/>
                <w:lang w:val="en-US"/>
              </w:rPr>
              <w:t xml:space="preserve">）为保证成交供应商对本工程主材性能要求有充分认识，合理准确报价、公平竞争，在采购文件中明确了采购人针对供应商负责采购范围内的影响工程质量和使用功能的主要设备、材料给定了品牌的参考范围，供应商应根据采购人给定的参考品牌范围以及对工程所在地设备、材料供货市场作充分调研和考察后，选择适合工程的设备材料进行响应。 </w:t>
            </w:r>
          </w:p>
          <w:p w14:paraId="1600397C">
            <w:pPr>
              <w:pStyle w:val="6"/>
              <w:adjustRightInd w:val="0"/>
              <w:snapToGrid w:val="0"/>
              <w:spacing w:line="360" w:lineRule="auto"/>
              <w:jc w:val="left"/>
              <w:rPr>
                <w:rFonts w:hint="eastAsia" w:ascii="宋体" w:hAnsi="宋体" w:eastAsia="宋体"/>
                <w:bCs/>
                <w:kern w:val="2"/>
                <w:sz w:val="24"/>
                <w:szCs w:val="20"/>
                <w:lang w:val="en-US"/>
              </w:rPr>
            </w:pPr>
            <w:r>
              <w:rPr>
                <w:rFonts w:hint="eastAsia" w:ascii="宋体" w:hAnsi="宋体" w:eastAsia="宋体"/>
                <w:bCs/>
                <w:kern w:val="2"/>
                <w:sz w:val="24"/>
                <w:szCs w:val="20"/>
                <w:lang w:val="en-US"/>
              </w:rPr>
              <w:t>（</w:t>
            </w:r>
            <w:r>
              <w:rPr>
                <w:rFonts w:ascii="宋体" w:hAnsi="宋体" w:eastAsia="宋体"/>
                <w:bCs/>
                <w:kern w:val="2"/>
                <w:sz w:val="24"/>
                <w:szCs w:val="20"/>
                <w:lang w:val="en-US"/>
              </w:rPr>
              <w:t>6</w:t>
            </w:r>
            <w:r>
              <w:rPr>
                <w:rFonts w:hint="eastAsia" w:ascii="宋体" w:hAnsi="宋体" w:eastAsia="宋体"/>
                <w:bCs/>
                <w:kern w:val="2"/>
                <w:sz w:val="24"/>
                <w:szCs w:val="20"/>
                <w:lang w:val="en-US"/>
              </w:rPr>
              <w:t xml:space="preserve">）未经采购人同意，供应商不得降低设备、材料性能档次，当采购人认为承包人的设备、材料性能档次低于采购文件要求的或供应商提供不合格产品的，采购人有权依据采购文件要求，本着同性能档次的原则重新选择确定材料品牌，价格不予调整，供应商须无条件更换，由此造成的工期延误由供应商承担。 </w:t>
            </w:r>
          </w:p>
          <w:p w14:paraId="21A9F9C7">
            <w:pPr>
              <w:pStyle w:val="6"/>
              <w:adjustRightInd w:val="0"/>
              <w:snapToGrid w:val="0"/>
              <w:spacing w:line="360" w:lineRule="auto"/>
              <w:jc w:val="left"/>
              <w:rPr>
                <w:rFonts w:asciiTheme="minorHAnsi" w:hAnsiTheme="minorHAnsi" w:eastAsiaTheme="minorEastAsia"/>
                <w:kern w:val="2"/>
                <w:sz w:val="24"/>
                <w:szCs w:val="22"/>
              </w:rPr>
            </w:pPr>
            <w:r>
              <w:rPr>
                <w:rFonts w:hint="eastAsia" w:ascii="宋体" w:hAnsi="宋体" w:eastAsia="宋体"/>
                <w:bCs/>
                <w:kern w:val="2"/>
                <w:sz w:val="24"/>
                <w:szCs w:val="20"/>
                <w:lang w:val="en-US"/>
              </w:rPr>
              <w:t>（</w:t>
            </w:r>
            <w:r>
              <w:rPr>
                <w:rFonts w:ascii="宋体" w:hAnsi="宋体" w:eastAsia="宋体"/>
                <w:bCs/>
                <w:kern w:val="2"/>
                <w:sz w:val="24"/>
                <w:szCs w:val="20"/>
                <w:lang w:val="en-US"/>
              </w:rPr>
              <w:t>7</w:t>
            </w:r>
            <w:r>
              <w:rPr>
                <w:rFonts w:hint="eastAsia" w:ascii="宋体" w:hAnsi="宋体" w:eastAsia="宋体"/>
                <w:bCs/>
                <w:kern w:val="2"/>
                <w:sz w:val="24"/>
                <w:szCs w:val="20"/>
                <w:lang w:val="en-US"/>
              </w:rPr>
              <w:t>）若供应商因故无法使用响应文件中确定的产品品牌及型号供货时，须将更换理由提交相关书面材料报监理人、采购人书面批准，经监理人、采购人书面批准后，按照采购人在品牌参考表中选定品牌的及型号进行施工，价格不予调整。</w:t>
            </w:r>
          </w:p>
        </w:tc>
      </w:tr>
      <w:tr w14:paraId="6486F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vAlign w:val="center"/>
          </w:tcPr>
          <w:p w14:paraId="7FB1DA8C">
            <w:pPr>
              <w:spacing w:line="360" w:lineRule="auto"/>
              <w:jc w:val="center"/>
              <w:rPr>
                <w:rFonts w:hint="eastAsia"/>
                <w:sz w:val="24"/>
              </w:rPr>
            </w:pPr>
            <w:r>
              <w:rPr>
                <w:rFonts w:hint="eastAsia"/>
                <w:sz w:val="24"/>
              </w:rPr>
              <w:t>8</w:t>
            </w:r>
          </w:p>
        </w:tc>
        <w:tc>
          <w:tcPr>
            <w:tcW w:w="1291" w:type="dxa"/>
            <w:vAlign w:val="center"/>
          </w:tcPr>
          <w:p w14:paraId="651A3514">
            <w:pPr>
              <w:pStyle w:val="10"/>
              <w:widowControl w:val="0"/>
              <w:spacing w:before="0" w:beforeAutospacing="0" w:after="0" w:afterAutospacing="0" w:line="360" w:lineRule="auto"/>
              <w:jc w:val="both"/>
              <w:rPr>
                <w:rFonts w:hint="eastAsia"/>
                <w:b w:val="0"/>
                <w:bCs w:val="0"/>
                <w:kern w:val="2"/>
                <w:sz w:val="24"/>
                <w:szCs w:val="20"/>
              </w:rPr>
            </w:pPr>
            <w:r>
              <w:rPr>
                <w:rFonts w:hint="eastAsia"/>
                <w:b w:val="0"/>
                <w:bCs w:val="0"/>
                <w:kern w:val="2"/>
                <w:sz w:val="24"/>
                <w:szCs w:val="20"/>
              </w:rPr>
              <w:t>工程施工重点难点</w:t>
            </w:r>
          </w:p>
        </w:tc>
        <w:tc>
          <w:tcPr>
            <w:tcW w:w="6355" w:type="dxa"/>
            <w:vAlign w:val="center"/>
          </w:tcPr>
          <w:p w14:paraId="397322CC">
            <w:pPr>
              <w:widowControl/>
              <w:spacing w:line="360" w:lineRule="auto"/>
              <w:rPr>
                <w:rFonts w:hint="eastAsia"/>
                <w:bCs/>
                <w:sz w:val="24"/>
                <w:szCs w:val="28"/>
              </w:rPr>
            </w:pPr>
            <w:r>
              <w:rPr>
                <w:bCs/>
                <w:sz w:val="24"/>
                <w:szCs w:val="28"/>
              </w:rPr>
              <w:t>在学校校园施工，在安全文明施工方面要重点注意，同时施工组织中的交通流线及平面布置等需重点考虑。施工车辆服从学校管理，不得影响学校的正常教学秩序。</w:t>
            </w:r>
          </w:p>
          <w:p w14:paraId="110AC07B">
            <w:pPr>
              <w:pStyle w:val="10"/>
              <w:widowControl w:val="0"/>
              <w:spacing w:before="0" w:beforeAutospacing="0" w:after="0" w:afterAutospacing="0" w:line="360" w:lineRule="auto"/>
              <w:jc w:val="both"/>
              <w:rPr>
                <w:rFonts w:hint="eastAsia"/>
                <w:b w:val="0"/>
                <w:bCs w:val="0"/>
                <w:kern w:val="2"/>
                <w:sz w:val="24"/>
                <w:szCs w:val="20"/>
              </w:rPr>
            </w:pPr>
            <w:r>
              <w:rPr>
                <w:rFonts w:hint="eastAsia"/>
                <w:b w:val="0"/>
                <w:sz w:val="24"/>
              </w:rPr>
              <w:t>卫生间防水、渗水施工，合理安排施工技术方案，确保工期内保质保量按期完成。</w:t>
            </w:r>
          </w:p>
        </w:tc>
      </w:tr>
      <w:tr w14:paraId="3002D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vAlign w:val="center"/>
          </w:tcPr>
          <w:p w14:paraId="28A72DA6">
            <w:pPr>
              <w:spacing w:line="360" w:lineRule="auto"/>
              <w:jc w:val="center"/>
              <w:rPr>
                <w:rFonts w:hint="eastAsia"/>
                <w:sz w:val="24"/>
              </w:rPr>
            </w:pPr>
            <w:r>
              <w:rPr>
                <w:rFonts w:hint="eastAsia"/>
                <w:sz w:val="24"/>
              </w:rPr>
              <w:t>9</w:t>
            </w:r>
          </w:p>
        </w:tc>
        <w:tc>
          <w:tcPr>
            <w:tcW w:w="1291" w:type="dxa"/>
            <w:vAlign w:val="center"/>
          </w:tcPr>
          <w:p w14:paraId="308F128C">
            <w:pPr>
              <w:pStyle w:val="10"/>
              <w:widowControl w:val="0"/>
              <w:spacing w:before="0" w:beforeAutospacing="0" w:after="0" w:afterAutospacing="0" w:line="360" w:lineRule="auto"/>
              <w:jc w:val="both"/>
              <w:rPr>
                <w:rFonts w:hint="eastAsia"/>
                <w:b w:val="0"/>
                <w:bCs w:val="0"/>
                <w:kern w:val="2"/>
                <w:sz w:val="24"/>
                <w:szCs w:val="20"/>
              </w:rPr>
            </w:pPr>
            <w:r>
              <w:rPr>
                <w:rFonts w:hint="eastAsia"/>
                <w:b w:val="0"/>
                <w:bCs w:val="0"/>
                <w:kern w:val="2"/>
                <w:sz w:val="24"/>
                <w:szCs w:val="20"/>
              </w:rPr>
              <w:t>报价须知</w:t>
            </w:r>
          </w:p>
        </w:tc>
        <w:tc>
          <w:tcPr>
            <w:tcW w:w="6355" w:type="dxa"/>
            <w:vAlign w:val="center"/>
          </w:tcPr>
          <w:p w14:paraId="7BC74525">
            <w:pPr>
              <w:pStyle w:val="10"/>
              <w:widowControl w:val="0"/>
              <w:spacing w:before="0" w:beforeAutospacing="0" w:after="0" w:afterAutospacing="0" w:line="360" w:lineRule="auto"/>
              <w:jc w:val="both"/>
              <w:rPr>
                <w:rFonts w:hint="eastAsia"/>
                <w:b w:val="0"/>
                <w:bCs w:val="0"/>
                <w:kern w:val="2"/>
                <w:sz w:val="24"/>
                <w:szCs w:val="20"/>
              </w:rPr>
            </w:pPr>
            <w:r>
              <w:rPr>
                <w:b w:val="0"/>
                <w:sz w:val="24"/>
              </w:rPr>
              <w:t>供应商最后报价均不得高于</w:t>
            </w:r>
            <w:r>
              <w:rPr>
                <w:rFonts w:hint="eastAsia"/>
                <w:b w:val="0"/>
                <w:sz w:val="24"/>
              </w:rPr>
              <w:t>比选</w:t>
            </w:r>
            <w:r>
              <w:rPr>
                <w:b w:val="0"/>
                <w:sz w:val="24"/>
              </w:rPr>
              <w:t>文件（公告）列明的项目预算</w:t>
            </w:r>
            <w:r>
              <w:rPr>
                <w:rFonts w:hint="eastAsia"/>
                <w:b w:val="0"/>
                <w:sz w:val="24"/>
              </w:rPr>
              <w:t>、最高投标限价（控制价）</w:t>
            </w:r>
            <w:r>
              <w:rPr>
                <w:b w:val="0"/>
                <w:sz w:val="24"/>
              </w:rPr>
              <w:t>，否则其响应文件将被认定为响应无效</w:t>
            </w:r>
            <w:r>
              <w:rPr>
                <w:rFonts w:hint="eastAsia"/>
                <w:b w:val="0"/>
                <w:bCs w:val="0"/>
                <w:kern w:val="2"/>
                <w:sz w:val="24"/>
                <w:szCs w:val="20"/>
              </w:rPr>
              <w:t>。</w:t>
            </w:r>
          </w:p>
          <w:p w14:paraId="26B496CD">
            <w:pPr>
              <w:widowControl/>
              <w:ind w:firstLine="482" w:firstLineChars="200"/>
              <w:jc w:val="left"/>
              <w:rPr>
                <w:rFonts w:hint="eastAsia"/>
              </w:rPr>
            </w:pPr>
            <w:r>
              <w:rPr>
                <w:rFonts w:hint="eastAsia" w:cs="宋体"/>
                <w:b/>
                <w:bCs/>
                <w:color w:val="000000"/>
                <w:sz w:val="24"/>
                <w:szCs w:val="24"/>
                <w:lang w:bidi="ar"/>
              </w:rPr>
              <w:t xml:space="preserve">比选小组发现供应商的报价或者某些分项报价明显异常，低于市场合理价格，有可能影响产品质量和不能诚信履约的，应当要求其在合理的时间内提供书面说明（不限于在人工、材料、机械消耗量、价格、施工措施、方案及其他方面），必要时提交相关证明材料。以下情形不得作为异常低价说明的依据： </w:t>
            </w:r>
          </w:p>
          <w:p w14:paraId="790A01C6">
            <w:pPr>
              <w:widowControl/>
              <w:ind w:firstLine="480" w:firstLineChars="200"/>
              <w:jc w:val="left"/>
              <w:rPr>
                <w:rFonts w:hint="eastAsia"/>
              </w:rPr>
            </w:pPr>
            <w:r>
              <w:rPr>
                <w:rFonts w:hint="eastAsia" w:cs="宋体"/>
                <w:color w:val="000000"/>
                <w:sz w:val="24"/>
                <w:szCs w:val="24"/>
                <w:lang w:bidi="ar"/>
              </w:rPr>
              <w:t xml:space="preserve">①机械、材料自有或闲置； </w:t>
            </w:r>
          </w:p>
          <w:p w14:paraId="0FF2F7D4">
            <w:pPr>
              <w:widowControl/>
              <w:ind w:firstLine="480" w:firstLineChars="200"/>
              <w:jc w:val="left"/>
              <w:rPr>
                <w:rFonts w:hint="eastAsia" w:cs="宋体"/>
                <w:color w:val="000000"/>
                <w:sz w:val="24"/>
                <w:szCs w:val="24"/>
                <w:lang w:bidi="ar"/>
              </w:rPr>
            </w:pPr>
            <w:r>
              <w:rPr>
                <w:rFonts w:hint="eastAsia" w:cs="宋体"/>
                <w:color w:val="000000"/>
                <w:sz w:val="24"/>
                <w:szCs w:val="24"/>
                <w:lang w:bidi="ar"/>
              </w:rPr>
              <w:t>②自有弃土场土源或与邻近项目签订的土方倒运</w:t>
            </w:r>
          </w:p>
          <w:p w14:paraId="771A2CE5">
            <w:pPr>
              <w:widowControl/>
              <w:ind w:firstLine="480" w:firstLineChars="200"/>
              <w:jc w:val="left"/>
              <w:rPr>
                <w:rFonts w:hint="eastAsia"/>
              </w:rPr>
            </w:pPr>
            <w:r>
              <w:rPr>
                <w:rFonts w:hint="eastAsia" w:cs="宋体"/>
                <w:color w:val="000000"/>
                <w:sz w:val="24"/>
                <w:szCs w:val="24"/>
                <w:lang w:bidi="ar"/>
              </w:rPr>
              <w:t xml:space="preserve">协议； </w:t>
            </w:r>
          </w:p>
          <w:p w14:paraId="423945D3">
            <w:pPr>
              <w:widowControl/>
              <w:ind w:firstLine="480" w:firstLineChars="200"/>
              <w:jc w:val="left"/>
              <w:rPr>
                <w:rFonts w:hint="eastAsia"/>
              </w:rPr>
            </w:pPr>
            <w:r>
              <w:rPr>
                <w:rFonts w:hint="eastAsia" w:cs="宋体"/>
                <w:color w:val="000000"/>
                <w:sz w:val="24"/>
                <w:szCs w:val="24"/>
                <w:lang w:bidi="ar"/>
              </w:rPr>
              <w:t xml:space="preserve">③人员闲置； </w:t>
            </w:r>
          </w:p>
          <w:p w14:paraId="2A389A94">
            <w:pPr>
              <w:widowControl/>
              <w:ind w:firstLine="480" w:firstLineChars="200"/>
              <w:jc w:val="left"/>
              <w:rPr>
                <w:rFonts w:hint="eastAsia"/>
              </w:rPr>
            </w:pPr>
            <w:r>
              <w:rPr>
                <w:rFonts w:hint="eastAsia" w:cs="宋体"/>
                <w:color w:val="000000"/>
                <w:sz w:val="24"/>
                <w:szCs w:val="24"/>
                <w:lang w:bidi="ar"/>
              </w:rPr>
              <w:t xml:space="preserve">④亏本让利； </w:t>
            </w:r>
          </w:p>
          <w:p w14:paraId="588EDAF5">
            <w:pPr>
              <w:widowControl/>
              <w:ind w:firstLine="480" w:firstLineChars="200"/>
              <w:jc w:val="left"/>
              <w:rPr>
                <w:rFonts w:hint="eastAsia"/>
              </w:rPr>
            </w:pPr>
            <w:r>
              <w:rPr>
                <w:rFonts w:hint="eastAsia" w:cs="宋体"/>
                <w:color w:val="000000"/>
                <w:sz w:val="24"/>
                <w:szCs w:val="24"/>
                <w:lang w:bidi="ar"/>
              </w:rPr>
              <w:t xml:space="preserve">⑤企业市场拓展或品牌宣传； </w:t>
            </w:r>
          </w:p>
          <w:p w14:paraId="7B72D5DF">
            <w:pPr>
              <w:widowControl/>
              <w:ind w:firstLine="480" w:firstLineChars="200"/>
              <w:jc w:val="left"/>
              <w:rPr>
                <w:rFonts w:hint="eastAsia"/>
              </w:rPr>
            </w:pPr>
            <w:r>
              <w:rPr>
                <w:rFonts w:hint="eastAsia" w:cs="宋体"/>
                <w:color w:val="000000"/>
                <w:sz w:val="24"/>
                <w:szCs w:val="24"/>
                <w:lang w:bidi="ar"/>
              </w:rPr>
              <w:t xml:space="preserve">⑥降低或改变原设计方案、技术工艺、施工标准的； </w:t>
            </w:r>
          </w:p>
          <w:p w14:paraId="7F83C94A">
            <w:pPr>
              <w:widowControl/>
              <w:ind w:firstLine="480" w:firstLineChars="200"/>
              <w:jc w:val="left"/>
              <w:rPr>
                <w:rFonts w:hint="eastAsia"/>
              </w:rPr>
            </w:pPr>
            <w:r>
              <w:rPr>
                <w:rFonts w:hint="eastAsia" w:cs="宋体"/>
                <w:color w:val="000000"/>
                <w:sz w:val="24"/>
                <w:szCs w:val="24"/>
                <w:lang w:bidi="ar"/>
              </w:rPr>
              <w:t xml:space="preserve">⑦类似项目业绩； </w:t>
            </w:r>
          </w:p>
          <w:p w14:paraId="7DCE10B1">
            <w:pPr>
              <w:widowControl/>
              <w:ind w:firstLine="480" w:firstLineChars="200"/>
              <w:jc w:val="left"/>
              <w:rPr>
                <w:rFonts w:hint="eastAsia"/>
              </w:rPr>
            </w:pPr>
            <w:r>
              <w:rPr>
                <w:rFonts w:hint="eastAsia" w:cs="宋体"/>
                <w:color w:val="000000"/>
                <w:sz w:val="24"/>
                <w:szCs w:val="24"/>
                <w:lang w:bidi="ar"/>
              </w:rPr>
              <w:t xml:space="preserve">⑧比选小组认为不得作为降低投标报价依据的情形。 </w:t>
            </w:r>
          </w:p>
          <w:p w14:paraId="65635D65">
            <w:pPr>
              <w:pStyle w:val="10"/>
              <w:widowControl w:val="0"/>
              <w:spacing w:before="0" w:beforeAutospacing="0" w:after="0" w:afterAutospacing="0" w:line="360" w:lineRule="auto"/>
              <w:jc w:val="both"/>
              <w:rPr>
                <w:rFonts w:hint="eastAsia"/>
                <w:b w:val="0"/>
                <w:bCs w:val="0"/>
                <w:kern w:val="2"/>
                <w:sz w:val="24"/>
                <w:szCs w:val="20"/>
              </w:rPr>
            </w:pPr>
            <w:r>
              <w:rPr>
                <w:rFonts w:hint="eastAsia" w:cs="宋体"/>
                <w:color w:val="000000"/>
                <w:sz w:val="24"/>
                <w:szCs w:val="24"/>
                <w:lang w:bidi="ar"/>
              </w:rPr>
              <w:t>供应商不能证明其报价合理性的，其响应文件将被认定为响应无效。</w:t>
            </w:r>
          </w:p>
        </w:tc>
      </w:tr>
      <w:tr w14:paraId="400D8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vAlign w:val="center"/>
          </w:tcPr>
          <w:p w14:paraId="7840A2F8">
            <w:pPr>
              <w:spacing w:line="360" w:lineRule="auto"/>
              <w:jc w:val="center"/>
              <w:rPr>
                <w:rFonts w:hint="eastAsia"/>
                <w:sz w:val="24"/>
              </w:rPr>
            </w:pPr>
            <w:r>
              <w:rPr>
                <w:rFonts w:hint="eastAsia"/>
                <w:sz w:val="24"/>
              </w:rPr>
              <w:t>10</w:t>
            </w:r>
          </w:p>
        </w:tc>
        <w:tc>
          <w:tcPr>
            <w:tcW w:w="1291" w:type="dxa"/>
            <w:vAlign w:val="center"/>
          </w:tcPr>
          <w:p w14:paraId="62B8F0AA">
            <w:pPr>
              <w:pStyle w:val="10"/>
              <w:widowControl w:val="0"/>
              <w:spacing w:before="0" w:beforeAutospacing="0" w:after="0" w:afterAutospacing="0" w:line="360" w:lineRule="auto"/>
              <w:jc w:val="both"/>
              <w:rPr>
                <w:rFonts w:hint="eastAsia"/>
                <w:b w:val="0"/>
                <w:bCs w:val="0"/>
                <w:kern w:val="2"/>
                <w:sz w:val="24"/>
                <w:szCs w:val="20"/>
              </w:rPr>
            </w:pPr>
            <w:r>
              <w:rPr>
                <w:rFonts w:hint="eastAsia"/>
                <w:b w:val="0"/>
                <w:bCs w:val="0"/>
                <w:kern w:val="2"/>
                <w:sz w:val="24"/>
                <w:szCs w:val="20"/>
              </w:rPr>
              <w:t>重要说明</w:t>
            </w:r>
          </w:p>
        </w:tc>
        <w:tc>
          <w:tcPr>
            <w:tcW w:w="6355" w:type="dxa"/>
            <w:vAlign w:val="center"/>
          </w:tcPr>
          <w:p w14:paraId="6BF58B3D">
            <w:pPr>
              <w:pStyle w:val="10"/>
              <w:widowControl w:val="0"/>
              <w:spacing w:before="0" w:beforeAutospacing="0" w:after="0" w:afterAutospacing="0" w:line="360" w:lineRule="auto"/>
              <w:jc w:val="both"/>
              <w:rPr>
                <w:rFonts w:hint="eastAsia"/>
                <w:b w:val="0"/>
                <w:bCs w:val="0"/>
                <w:kern w:val="2"/>
                <w:sz w:val="24"/>
                <w:szCs w:val="20"/>
              </w:rPr>
            </w:pPr>
            <w:r>
              <w:rPr>
                <w:rFonts w:hint="eastAsia"/>
                <w:b w:val="0"/>
                <w:bCs w:val="0"/>
                <w:kern w:val="2"/>
                <w:sz w:val="24"/>
                <w:szCs w:val="20"/>
              </w:rPr>
              <w:t>（1）本项目的</w:t>
            </w:r>
            <w:r>
              <w:rPr>
                <w:rFonts w:hint="eastAsia"/>
                <w:b w:val="0"/>
                <w:sz w:val="24"/>
              </w:rPr>
              <w:t>比选</w:t>
            </w:r>
            <w:r>
              <w:rPr>
                <w:rFonts w:hint="eastAsia"/>
                <w:b w:val="0"/>
                <w:bCs w:val="0"/>
                <w:kern w:val="2"/>
                <w:sz w:val="24"/>
                <w:szCs w:val="20"/>
              </w:rPr>
              <w:t>文件、工程量清单、最高投标限价（控制价）、澄清、修改、补充等相关资料均已发布，请供应商自行从网上下载，供应商应当及时查看有无相关澄清、修改、补充等内容。</w:t>
            </w:r>
          </w:p>
          <w:p w14:paraId="45EB8910">
            <w:pPr>
              <w:pStyle w:val="10"/>
              <w:widowControl w:val="0"/>
              <w:spacing w:before="0" w:beforeAutospacing="0" w:after="0" w:afterAutospacing="0" w:line="360" w:lineRule="auto"/>
              <w:jc w:val="both"/>
              <w:rPr>
                <w:rFonts w:hint="eastAsia"/>
                <w:b w:val="0"/>
                <w:bCs w:val="0"/>
                <w:kern w:val="2"/>
                <w:sz w:val="24"/>
                <w:szCs w:val="20"/>
              </w:rPr>
            </w:pPr>
            <w:r>
              <w:rPr>
                <w:rFonts w:hint="eastAsia"/>
                <w:b w:val="0"/>
                <w:bCs w:val="0"/>
                <w:kern w:val="2"/>
                <w:sz w:val="24"/>
                <w:szCs w:val="20"/>
              </w:rPr>
              <w:t>（2）在工程项目</w:t>
            </w:r>
            <w:r>
              <w:rPr>
                <w:rFonts w:hint="eastAsia"/>
                <w:b w:val="0"/>
                <w:sz w:val="24"/>
              </w:rPr>
              <w:t>比选</w:t>
            </w:r>
            <w:r>
              <w:rPr>
                <w:rFonts w:hint="eastAsia"/>
                <w:b w:val="0"/>
                <w:bCs w:val="0"/>
                <w:kern w:val="2"/>
                <w:sz w:val="24"/>
                <w:szCs w:val="20"/>
              </w:rPr>
              <w:t>过程中，供应商最后报价与公布的最高投标限价（控制价）或项目概算相比降幅过小，或供应商最后报价明显缺乏竞争性的，</w:t>
            </w:r>
            <w:r>
              <w:rPr>
                <w:rFonts w:hint="eastAsia"/>
                <w:b w:val="0"/>
                <w:sz w:val="24"/>
              </w:rPr>
              <w:t>比选</w:t>
            </w:r>
            <w:r>
              <w:rPr>
                <w:rFonts w:hint="eastAsia"/>
                <w:b w:val="0"/>
                <w:bCs w:val="0"/>
                <w:kern w:val="2"/>
                <w:sz w:val="24"/>
                <w:szCs w:val="20"/>
              </w:rPr>
              <w:t>小组可以否决其报价。</w:t>
            </w:r>
          </w:p>
          <w:p w14:paraId="77F605D9">
            <w:pPr>
              <w:pStyle w:val="10"/>
              <w:widowControl w:val="0"/>
              <w:spacing w:before="0" w:beforeAutospacing="0" w:after="0" w:afterAutospacing="0" w:line="360" w:lineRule="auto"/>
              <w:jc w:val="both"/>
              <w:rPr>
                <w:rFonts w:hint="eastAsia"/>
                <w:b w:val="0"/>
                <w:bCs w:val="0"/>
                <w:kern w:val="2"/>
                <w:sz w:val="24"/>
                <w:szCs w:val="20"/>
              </w:rPr>
            </w:pPr>
            <w:r>
              <w:rPr>
                <w:rFonts w:hint="eastAsia"/>
                <w:b w:val="0"/>
                <w:bCs w:val="0"/>
                <w:kern w:val="2"/>
                <w:sz w:val="24"/>
                <w:szCs w:val="20"/>
              </w:rPr>
              <w:t>（3）外地建安企业</w:t>
            </w:r>
            <w:r>
              <w:rPr>
                <w:rFonts w:hint="eastAsia"/>
                <w:b w:val="0"/>
                <w:sz w:val="24"/>
              </w:rPr>
              <w:t>比选</w:t>
            </w:r>
            <w:r>
              <w:rPr>
                <w:rFonts w:hint="eastAsia"/>
                <w:b w:val="0"/>
                <w:bCs w:val="0"/>
                <w:kern w:val="2"/>
                <w:sz w:val="24"/>
                <w:szCs w:val="20"/>
              </w:rPr>
              <w:t>并成交后必须在项目所在地交纳相关税费。</w:t>
            </w:r>
          </w:p>
          <w:p w14:paraId="344B4A46">
            <w:pPr>
              <w:pStyle w:val="10"/>
              <w:widowControl w:val="0"/>
              <w:spacing w:before="0" w:beforeAutospacing="0" w:after="0" w:afterAutospacing="0" w:line="360" w:lineRule="auto"/>
              <w:jc w:val="both"/>
              <w:rPr>
                <w:rFonts w:hint="eastAsia"/>
                <w:b w:val="0"/>
                <w:bCs w:val="0"/>
                <w:kern w:val="2"/>
                <w:sz w:val="24"/>
                <w:szCs w:val="20"/>
              </w:rPr>
            </w:pPr>
            <w:r>
              <w:rPr>
                <w:rFonts w:hint="eastAsia"/>
                <w:b w:val="0"/>
                <w:bCs w:val="0"/>
                <w:kern w:val="2"/>
                <w:sz w:val="24"/>
                <w:szCs w:val="20"/>
              </w:rPr>
              <w:t>（4）承包人在工程实施过程中用工行为，必须严格执行国家及地方政府的有关规定，依法签订劳动合同，并按规定及时足额支付工资。</w:t>
            </w:r>
          </w:p>
          <w:p w14:paraId="476D1D65">
            <w:pPr>
              <w:pStyle w:val="10"/>
              <w:widowControl w:val="0"/>
              <w:spacing w:before="0" w:beforeAutospacing="0" w:after="0" w:afterAutospacing="0" w:line="360" w:lineRule="auto"/>
              <w:jc w:val="both"/>
              <w:rPr>
                <w:rFonts w:hint="eastAsia"/>
                <w:b w:val="0"/>
                <w:bCs w:val="0"/>
                <w:kern w:val="2"/>
                <w:sz w:val="24"/>
                <w:szCs w:val="20"/>
              </w:rPr>
            </w:pPr>
            <w:r>
              <w:rPr>
                <w:rFonts w:hint="eastAsia"/>
                <w:b w:val="0"/>
                <w:bCs w:val="0"/>
                <w:kern w:val="2"/>
                <w:sz w:val="24"/>
                <w:szCs w:val="20"/>
              </w:rPr>
              <w:t>（5）</w:t>
            </w:r>
            <w:r>
              <w:rPr>
                <w:rFonts w:hint="eastAsia" w:cs="@仿宋_GB2312"/>
                <w:kern w:val="2"/>
                <w:sz w:val="24"/>
                <w:szCs w:val="22"/>
              </w:rPr>
              <w:t>建设工程不可竞争费构成及计费标准按最高投标限价明细</w:t>
            </w:r>
            <w:r>
              <w:rPr>
                <w:rFonts w:cs="@仿宋_GB2312"/>
                <w:kern w:val="2"/>
                <w:sz w:val="24"/>
                <w:szCs w:val="22"/>
              </w:rPr>
              <w:t>执行</w:t>
            </w:r>
            <w:r>
              <w:rPr>
                <w:rFonts w:hint="eastAsia" w:cs="@仿宋_GB2312"/>
                <w:kern w:val="2"/>
                <w:sz w:val="24"/>
                <w:szCs w:val="22"/>
              </w:rPr>
              <w:t>，本工程最高投标限价（控制价）已按按规定的措施项目、费率和单价列出招标工程施工扬尘污染防治费用和建筑工人实名制管理费用清单，供应商应承诺报价中已包含磋商文件公布的施工扬尘污染防治费用和建筑工人实名制管理费用。</w:t>
            </w:r>
          </w:p>
        </w:tc>
      </w:tr>
      <w:tr w14:paraId="46B77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vAlign w:val="center"/>
          </w:tcPr>
          <w:p w14:paraId="630795B9">
            <w:pPr>
              <w:spacing w:line="360" w:lineRule="auto"/>
              <w:jc w:val="center"/>
              <w:rPr>
                <w:rFonts w:hint="eastAsia"/>
                <w:sz w:val="24"/>
              </w:rPr>
            </w:pPr>
            <w:r>
              <w:rPr>
                <w:rFonts w:hint="eastAsia"/>
                <w:sz w:val="24"/>
              </w:rPr>
              <w:t>11</w:t>
            </w:r>
          </w:p>
        </w:tc>
        <w:tc>
          <w:tcPr>
            <w:tcW w:w="1291" w:type="dxa"/>
            <w:vAlign w:val="center"/>
          </w:tcPr>
          <w:p w14:paraId="3507B685">
            <w:pPr>
              <w:pStyle w:val="10"/>
              <w:widowControl w:val="0"/>
              <w:spacing w:before="0" w:beforeAutospacing="0" w:after="0" w:afterAutospacing="0" w:line="360" w:lineRule="auto"/>
              <w:jc w:val="both"/>
              <w:rPr>
                <w:rFonts w:hint="eastAsia"/>
                <w:b w:val="0"/>
                <w:bCs w:val="0"/>
                <w:kern w:val="2"/>
                <w:sz w:val="24"/>
                <w:szCs w:val="20"/>
              </w:rPr>
            </w:pPr>
            <w:r>
              <w:rPr>
                <w:rFonts w:hint="eastAsia"/>
                <w:b w:val="0"/>
                <w:bCs w:val="0"/>
                <w:kern w:val="2"/>
                <w:sz w:val="24"/>
                <w:szCs w:val="20"/>
              </w:rPr>
              <w:t>项目经理</w:t>
            </w:r>
          </w:p>
          <w:p w14:paraId="03F1DDC4">
            <w:pPr>
              <w:pStyle w:val="10"/>
              <w:widowControl w:val="0"/>
              <w:spacing w:before="0" w:beforeAutospacing="0" w:after="0" w:afterAutospacing="0" w:line="360" w:lineRule="auto"/>
              <w:jc w:val="both"/>
              <w:rPr>
                <w:rFonts w:hint="eastAsia"/>
                <w:b w:val="0"/>
                <w:bCs w:val="0"/>
                <w:kern w:val="2"/>
                <w:sz w:val="24"/>
                <w:szCs w:val="20"/>
              </w:rPr>
            </w:pPr>
            <w:r>
              <w:rPr>
                <w:rFonts w:hint="eastAsia"/>
                <w:b w:val="0"/>
                <w:sz w:val="24"/>
              </w:rPr>
              <w:t>（</w:t>
            </w:r>
            <w:r>
              <w:rPr>
                <w:rFonts w:hint="eastAsia"/>
                <w:b w:val="0"/>
                <w:i/>
                <w:sz w:val="24"/>
              </w:rPr>
              <w:t>如有</w:t>
            </w:r>
            <w:r>
              <w:rPr>
                <w:rFonts w:hint="eastAsia"/>
                <w:b w:val="0"/>
                <w:sz w:val="24"/>
              </w:rPr>
              <w:t>）</w:t>
            </w:r>
          </w:p>
        </w:tc>
        <w:tc>
          <w:tcPr>
            <w:tcW w:w="6355" w:type="dxa"/>
            <w:vAlign w:val="center"/>
          </w:tcPr>
          <w:p w14:paraId="70D56CAF">
            <w:pPr>
              <w:pStyle w:val="10"/>
              <w:widowControl w:val="0"/>
              <w:spacing w:before="0" w:beforeAutospacing="0" w:after="0" w:afterAutospacing="0" w:line="360" w:lineRule="auto"/>
              <w:jc w:val="both"/>
              <w:rPr>
                <w:rFonts w:hint="eastAsia"/>
                <w:b w:val="0"/>
                <w:bCs w:val="0"/>
                <w:kern w:val="2"/>
                <w:sz w:val="24"/>
                <w:szCs w:val="20"/>
              </w:rPr>
            </w:pPr>
            <w:r>
              <w:rPr>
                <w:rFonts w:hint="eastAsia"/>
                <w:b w:val="0"/>
                <w:bCs w:val="0"/>
                <w:kern w:val="2"/>
                <w:sz w:val="24"/>
                <w:szCs w:val="20"/>
              </w:rPr>
              <w:t>符合竞争性磋商公告要求</w:t>
            </w:r>
          </w:p>
        </w:tc>
      </w:tr>
      <w:tr w14:paraId="7E939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vAlign w:val="center"/>
          </w:tcPr>
          <w:p w14:paraId="074AE3C0">
            <w:pPr>
              <w:spacing w:line="360" w:lineRule="auto"/>
              <w:jc w:val="center"/>
              <w:rPr>
                <w:rFonts w:hint="eastAsia"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12</w:t>
            </w:r>
          </w:p>
        </w:tc>
        <w:tc>
          <w:tcPr>
            <w:tcW w:w="1291" w:type="dxa"/>
            <w:vAlign w:val="center"/>
          </w:tcPr>
          <w:p w14:paraId="5F0FF3E5">
            <w:pPr>
              <w:spacing w:line="360" w:lineRule="auto"/>
              <w:jc w:val="center"/>
              <w:rPr>
                <w:rFonts w:hint="eastAsia" w:cs="@仿宋_GB2312" w:asciiTheme="minorEastAsia" w:hAnsiTheme="minorEastAsia" w:eastAsiaTheme="minorEastAsia"/>
                <w:bCs/>
                <w:kern w:val="2"/>
                <w:sz w:val="24"/>
                <w:szCs w:val="28"/>
              </w:rPr>
            </w:pPr>
            <w:r>
              <w:rPr>
                <w:rFonts w:hint="eastAsia" w:cs="@仿宋_GB2312" w:asciiTheme="minorEastAsia" w:hAnsiTheme="minorEastAsia" w:eastAsiaTheme="minorEastAsia"/>
                <w:bCs/>
                <w:kern w:val="2"/>
                <w:sz w:val="24"/>
                <w:szCs w:val="28"/>
              </w:rPr>
              <w:t>初审业绩</w:t>
            </w:r>
          </w:p>
          <w:p w14:paraId="020C8C69">
            <w:pPr>
              <w:spacing w:line="360" w:lineRule="auto"/>
              <w:jc w:val="center"/>
              <w:rPr>
                <w:rFonts w:hint="eastAsia" w:cs="@仿宋_GB2312" w:asciiTheme="minorEastAsia" w:hAnsiTheme="minorEastAsia" w:eastAsiaTheme="minorEastAsia"/>
                <w:kern w:val="2"/>
                <w:sz w:val="24"/>
                <w:szCs w:val="22"/>
              </w:rPr>
            </w:pPr>
            <w:r>
              <w:rPr>
                <w:rFonts w:hint="eastAsia" w:cs="@仿宋_GB2312" w:asciiTheme="minorEastAsia" w:hAnsiTheme="minorEastAsia" w:eastAsiaTheme="minorEastAsia"/>
                <w:bCs/>
                <w:kern w:val="2"/>
                <w:sz w:val="24"/>
                <w:szCs w:val="28"/>
              </w:rPr>
              <w:t>（</w:t>
            </w:r>
            <w:r>
              <w:rPr>
                <w:rFonts w:hint="eastAsia" w:cs="@仿宋_GB2312" w:asciiTheme="minorEastAsia" w:hAnsiTheme="minorEastAsia" w:eastAsiaTheme="minorEastAsia"/>
                <w:bCs/>
                <w:i/>
                <w:kern w:val="2"/>
                <w:sz w:val="24"/>
                <w:szCs w:val="28"/>
              </w:rPr>
              <w:t>如有</w:t>
            </w:r>
            <w:r>
              <w:rPr>
                <w:rFonts w:hint="eastAsia" w:cs="@仿宋_GB2312" w:asciiTheme="minorEastAsia" w:hAnsiTheme="minorEastAsia" w:eastAsiaTheme="minorEastAsia"/>
                <w:bCs/>
                <w:kern w:val="2"/>
                <w:sz w:val="24"/>
                <w:szCs w:val="28"/>
              </w:rPr>
              <w:t>）</w:t>
            </w:r>
          </w:p>
        </w:tc>
        <w:tc>
          <w:tcPr>
            <w:tcW w:w="6355" w:type="dxa"/>
            <w:vAlign w:val="center"/>
          </w:tcPr>
          <w:p w14:paraId="3673410E">
            <w:pPr>
              <w:spacing w:line="360" w:lineRule="auto"/>
              <w:jc w:val="left"/>
              <w:rPr>
                <w:rFonts w:hint="eastAsia" w:cs="@仿宋_GB2312" w:asciiTheme="minorEastAsia" w:hAnsiTheme="minorEastAsia" w:eastAsiaTheme="minorEastAsia"/>
                <w:b/>
                <w:bCs/>
                <w:kern w:val="2"/>
                <w:sz w:val="24"/>
                <w:szCs w:val="22"/>
              </w:rPr>
            </w:pPr>
            <w:r>
              <w:rPr>
                <w:rFonts w:hint="eastAsia" w:cs="@仿宋_GB2312" w:asciiTheme="minorEastAsia" w:hAnsiTheme="minorEastAsia" w:eastAsiaTheme="minorEastAsia"/>
                <w:b/>
                <w:bCs/>
                <w:kern w:val="2"/>
                <w:sz w:val="24"/>
                <w:szCs w:val="22"/>
              </w:rPr>
              <w:t>/</w:t>
            </w:r>
          </w:p>
        </w:tc>
      </w:tr>
      <w:tr w14:paraId="392E5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vAlign w:val="center"/>
          </w:tcPr>
          <w:p w14:paraId="7F081421">
            <w:pPr>
              <w:spacing w:line="360" w:lineRule="auto"/>
              <w:jc w:val="center"/>
              <w:rPr>
                <w:rFonts w:hint="eastAsia"/>
                <w:sz w:val="24"/>
              </w:rPr>
            </w:pPr>
            <w:r>
              <w:rPr>
                <w:rFonts w:hint="eastAsia"/>
                <w:sz w:val="24"/>
              </w:rPr>
              <w:t>13</w:t>
            </w:r>
          </w:p>
        </w:tc>
        <w:tc>
          <w:tcPr>
            <w:tcW w:w="1291" w:type="dxa"/>
            <w:vAlign w:val="center"/>
          </w:tcPr>
          <w:p w14:paraId="73F9397C">
            <w:pPr>
              <w:pStyle w:val="10"/>
              <w:widowControl w:val="0"/>
              <w:spacing w:before="0" w:beforeAutospacing="0" w:after="0" w:afterAutospacing="0" w:line="360" w:lineRule="auto"/>
              <w:rPr>
                <w:rFonts w:hint="eastAsia" w:cs="宋体"/>
                <w:b w:val="0"/>
                <w:sz w:val="24"/>
                <w:szCs w:val="24"/>
              </w:rPr>
            </w:pPr>
            <w:r>
              <w:rPr>
                <w:rFonts w:hint="eastAsia" w:cs="宋体"/>
                <w:b w:val="0"/>
                <w:sz w:val="24"/>
                <w:szCs w:val="24"/>
              </w:rPr>
              <w:t>本项目采购标的所属行业</w:t>
            </w:r>
          </w:p>
        </w:tc>
        <w:tc>
          <w:tcPr>
            <w:tcW w:w="6355" w:type="dxa"/>
            <w:vAlign w:val="center"/>
          </w:tcPr>
          <w:p w14:paraId="3B1F41DC">
            <w:pPr>
              <w:spacing w:line="360" w:lineRule="auto"/>
              <w:jc w:val="left"/>
              <w:rPr>
                <w:rFonts w:hint="eastAsia" w:cs="宋体"/>
                <w:bCs/>
                <w:sz w:val="24"/>
                <w:szCs w:val="24"/>
              </w:rPr>
            </w:pPr>
            <w:r>
              <w:rPr>
                <w:rFonts w:hint="eastAsia" w:cs="宋体"/>
                <w:bCs/>
                <w:sz w:val="24"/>
                <w:szCs w:val="24"/>
              </w:rPr>
              <w:t>建筑业</w:t>
            </w:r>
          </w:p>
        </w:tc>
      </w:tr>
      <w:tr w14:paraId="3EBBD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vAlign w:val="center"/>
          </w:tcPr>
          <w:p w14:paraId="422BA53E">
            <w:pPr>
              <w:spacing w:line="360" w:lineRule="auto"/>
              <w:jc w:val="center"/>
              <w:rPr>
                <w:rFonts w:hint="eastAsia"/>
                <w:sz w:val="24"/>
              </w:rPr>
            </w:pPr>
            <w:r>
              <w:rPr>
                <w:rFonts w:hint="eastAsia"/>
                <w:sz w:val="24"/>
              </w:rPr>
              <w:t>14</w:t>
            </w:r>
          </w:p>
        </w:tc>
        <w:tc>
          <w:tcPr>
            <w:tcW w:w="1291" w:type="dxa"/>
            <w:vAlign w:val="center"/>
          </w:tcPr>
          <w:p w14:paraId="1F6F0209">
            <w:pPr>
              <w:pStyle w:val="10"/>
              <w:widowControl w:val="0"/>
              <w:spacing w:before="0" w:beforeAutospacing="0" w:after="0" w:afterAutospacing="0" w:line="360" w:lineRule="auto"/>
              <w:ind w:firstLine="435"/>
              <w:jc w:val="both"/>
              <w:rPr>
                <w:rFonts w:hint="eastAsia"/>
                <w:b w:val="0"/>
                <w:bCs w:val="0"/>
                <w:kern w:val="2"/>
                <w:sz w:val="24"/>
                <w:szCs w:val="20"/>
              </w:rPr>
            </w:pPr>
            <w:r>
              <w:rPr>
                <w:rFonts w:hint="eastAsia"/>
                <w:b w:val="0"/>
                <w:bCs w:val="0"/>
                <w:kern w:val="2"/>
                <w:sz w:val="24"/>
                <w:szCs w:val="20"/>
              </w:rPr>
              <w:t>其他</w:t>
            </w:r>
          </w:p>
        </w:tc>
        <w:tc>
          <w:tcPr>
            <w:tcW w:w="6355" w:type="dxa"/>
            <w:vAlign w:val="center"/>
          </w:tcPr>
          <w:p w14:paraId="00ADC3D4">
            <w:pPr>
              <w:widowControl/>
              <w:numPr>
                <w:ilvl w:val="0"/>
                <w:numId w:val="1"/>
              </w:numPr>
              <w:jc w:val="left"/>
              <w:rPr>
                <w:rFonts w:hint="eastAsia" w:cs="宋体"/>
                <w:sz w:val="24"/>
                <w:szCs w:val="22"/>
                <w:lang w:bidi="ar"/>
              </w:rPr>
            </w:pPr>
            <w:r>
              <w:rPr>
                <w:rFonts w:hint="eastAsia" w:cs="宋体"/>
                <w:sz w:val="24"/>
                <w:szCs w:val="22"/>
                <w:lang w:bidi="ar"/>
              </w:rPr>
              <w:t>本项目成交后实行法人约谈制度，采购人将电话并邮件通知成交单位，约谈时法人、项目经理必须到场，第一次约谈,法定代表人或项目经理缺席不到场，处罚施工单位1万元，成交单位法定代表人不到场就停止约谈，再次电话并邮件通知中标单位，3 日内法人、项目经理仍不参加约谈，业主将有权取消其成交资格。</w:t>
            </w:r>
          </w:p>
          <w:p w14:paraId="253E441B">
            <w:pPr>
              <w:widowControl/>
              <w:jc w:val="left"/>
              <w:rPr>
                <w:rFonts w:ascii="Calibri" w:hAnsi="Calibri" w:cs="宋体"/>
                <w:sz w:val="24"/>
                <w:szCs w:val="22"/>
                <w:lang w:bidi="ar"/>
              </w:rPr>
            </w:pPr>
            <w:r>
              <w:rPr>
                <w:rFonts w:hint="eastAsia" w:ascii="Calibri" w:hAnsi="Calibri" w:cs="宋体"/>
                <w:sz w:val="24"/>
                <w:szCs w:val="22"/>
                <w:lang w:bidi="ar"/>
              </w:rPr>
              <w:t>2、供应商一旦成交，项目班组人员要求：要求项目经理、安全员必须到场。</w:t>
            </w:r>
          </w:p>
          <w:p w14:paraId="60C77A1A">
            <w:pPr>
              <w:widowControl/>
              <w:jc w:val="left"/>
              <w:rPr>
                <w:rFonts w:ascii="Calibri" w:hAnsi="Calibri"/>
                <w:kern w:val="2"/>
                <w:sz w:val="21"/>
                <w:szCs w:val="22"/>
              </w:rPr>
            </w:pPr>
            <w:r>
              <w:rPr>
                <w:rFonts w:hint="eastAsia" w:ascii="Calibri" w:hAnsi="Calibri" w:cs="宋体"/>
                <w:sz w:val="24"/>
                <w:szCs w:val="22"/>
                <w:lang w:bidi="ar"/>
              </w:rPr>
              <w:t>项目班组人员到场要求及相关合同处罚条款：项目经理每月在现场不少于</w:t>
            </w:r>
            <w:r>
              <w:rPr>
                <w:rFonts w:hint="eastAsia" w:cs="宋体"/>
                <w:sz w:val="24"/>
                <w:szCs w:val="22"/>
                <w:lang w:bidi="ar"/>
              </w:rPr>
              <w:t>16</w:t>
            </w:r>
            <w:r>
              <w:rPr>
                <w:rFonts w:hint="eastAsia" w:ascii="Calibri" w:hAnsi="Calibri" w:cs="宋体"/>
                <w:sz w:val="24"/>
                <w:szCs w:val="22"/>
                <w:lang w:bidi="ar"/>
              </w:rPr>
              <w:t>天，否则罚款</w:t>
            </w:r>
            <w:r>
              <w:rPr>
                <w:rFonts w:hint="eastAsia" w:cs="宋体"/>
                <w:sz w:val="24"/>
                <w:szCs w:val="22"/>
                <w:lang w:bidi="ar"/>
              </w:rPr>
              <w:t>1</w:t>
            </w:r>
            <w:r>
              <w:rPr>
                <w:rFonts w:hint="eastAsia" w:ascii="Calibri" w:hAnsi="Calibri" w:cs="宋体"/>
                <w:sz w:val="24"/>
                <w:szCs w:val="22"/>
                <w:lang w:bidi="ar"/>
              </w:rPr>
              <w:t>000元/天。安全员每月在现场不少于26天，否则罚款</w:t>
            </w:r>
            <w:r>
              <w:rPr>
                <w:rFonts w:ascii="Calibri" w:hAnsi="Calibri" w:cs="宋体"/>
                <w:sz w:val="24"/>
                <w:szCs w:val="22"/>
                <w:lang w:bidi="ar"/>
              </w:rPr>
              <w:t>5</w:t>
            </w:r>
            <w:r>
              <w:rPr>
                <w:rFonts w:hint="eastAsia" w:ascii="Calibri" w:hAnsi="Calibri" w:cs="宋体"/>
                <w:sz w:val="24"/>
                <w:szCs w:val="22"/>
                <w:lang w:bidi="ar"/>
              </w:rPr>
              <w:t xml:space="preserve">00元/天。同时，成交单位需承担相应违约责任，由此造成的损失，成交人自行承担并赔偿可能给采购人造成的损失。 </w:t>
            </w:r>
          </w:p>
          <w:p w14:paraId="5FA428EC">
            <w:pPr>
              <w:widowControl/>
              <w:jc w:val="left"/>
              <w:rPr>
                <w:rFonts w:ascii="Calibri" w:hAnsi="Calibri"/>
                <w:kern w:val="2"/>
                <w:sz w:val="21"/>
                <w:szCs w:val="22"/>
              </w:rPr>
            </w:pPr>
            <w:r>
              <w:rPr>
                <w:rFonts w:hint="eastAsia" w:ascii="Calibri" w:hAnsi="Calibri" w:cs="宋体"/>
                <w:sz w:val="24"/>
                <w:szCs w:val="22"/>
                <w:lang w:bidi="ar"/>
              </w:rPr>
              <w:t>3、供应商中标后不得擅自更换项目经理及项目部主要管理人员。确需更换时，须报经采购人同意，更换后人员不得低于成交人投标时所报人员资质和技术水平。更换项目经理的罚款按照有关管理制度执行：更换项目经理的违约金（不可抗力除外）：</w:t>
            </w:r>
            <w:r>
              <w:rPr>
                <w:rFonts w:ascii="Calibri" w:hAnsi="Calibri" w:cs="宋体"/>
                <w:sz w:val="24"/>
                <w:szCs w:val="22"/>
                <w:lang w:bidi="ar"/>
              </w:rPr>
              <w:t>5</w:t>
            </w:r>
            <w:r>
              <w:rPr>
                <w:rFonts w:hint="eastAsia" w:ascii="Calibri" w:hAnsi="Calibri" w:cs="宋体"/>
                <w:sz w:val="24"/>
                <w:szCs w:val="22"/>
                <w:lang w:bidi="ar"/>
              </w:rPr>
              <w:t xml:space="preserve">万元/次，采购人如认为有必要，可要求对上述人员中的部分人员作出更好的调整，同时，也应承担相应的违约责任。 </w:t>
            </w:r>
          </w:p>
          <w:p w14:paraId="37C2D66D">
            <w:pPr>
              <w:widowControl/>
              <w:jc w:val="left"/>
              <w:rPr>
                <w:rFonts w:ascii="Calibri" w:hAnsi="Calibri"/>
                <w:kern w:val="2"/>
                <w:sz w:val="21"/>
                <w:szCs w:val="22"/>
              </w:rPr>
            </w:pPr>
            <w:r>
              <w:rPr>
                <w:rFonts w:hint="eastAsia" w:ascii="Calibri" w:hAnsi="Calibri" w:cs="宋体"/>
                <w:sz w:val="24"/>
                <w:szCs w:val="22"/>
                <w:lang w:bidi="ar"/>
              </w:rPr>
              <w:t xml:space="preserve">4、供应商自行踏勘现场，做好现场成品保护（包含但不限于现有装饰防护等）、现场施工面整理，如因供应商原因对现场成品造成损坏的，由成交人负责维修直至满足原设计及采购人要求，如成交人无法维修的，由成交人与采购人自行协调维修，费用由成交人承担，若成交人拒绝维修或拒绝承担维修费用的，采购人将从成交人工程款中扣除两倍实际维修费用，上不封顶，成品保护及现场施工面整理所有费用均含在投标报价中，供应商自行报价成交后不予调整。 </w:t>
            </w:r>
          </w:p>
          <w:p w14:paraId="48A8F4A1">
            <w:pPr>
              <w:widowControl/>
              <w:jc w:val="left"/>
              <w:rPr>
                <w:rFonts w:ascii="Calibri" w:hAnsi="Calibri"/>
                <w:kern w:val="2"/>
                <w:sz w:val="21"/>
                <w:szCs w:val="22"/>
              </w:rPr>
            </w:pPr>
            <w:r>
              <w:rPr>
                <w:rFonts w:hint="eastAsia" w:ascii="Calibri" w:hAnsi="Calibri" w:cs="宋体"/>
                <w:sz w:val="24"/>
                <w:szCs w:val="22"/>
                <w:lang w:bidi="ar"/>
              </w:rPr>
              <w:t xml:space="preserve">5、在工程实施过程中，如出现设计变更减少工程量的，或采购人取消或暂缓部分工程的，或采购人将成交人施工范围内的部分工程（中标人违约为前提）分割给第三方承包，成交人需无条件执行采购人的此类指令，同时也不得就此索赔，或以“合同履行后可以获得的利益”为由要求赔偿损失。 </w:t>
            </w:r>
          </w:p>
          <w:p w14:paraId="14BDA6F2">
            <w:pPr>
              <w:widowControl/>
              <w:jc w:val="left"/>
              <w:rPr>
                <w:rFonts w:ascii="Calibri" w:hAnsi="Calibri"/>
                <w:kern w:val="2"/>
                <w:sz w:val="21"/>
                <w:szCs w:val="22"/>
              </w:rPr>
            </w:pPr>
            <w:r>
              <w:rPr>
                <w:rFonts w:hint="eastAsia" w:ascii="Calibri" w:hAnsi="Calibri" w:cs="宋体"/>
                <w:sz w:val="24"/>
                <w:szCs w:val="22"/>
                <w:lang w:bidi="ar"/>
              </w:rPr>
              <w:t xml:space="preserve">6、在成交人承包范围内的工程，因成交人原因未能按进度计划组织实施，采购人可另行发包给第三方施工，且无需向成交人支付总承包服务费，如另行发包造成工期延误、结算造价超过成交人的投标报价等其他的损失，全部由成交人承担。 </w:t>
            </w:r>
          </w:p>
          <w:p w14:paraId="4ABA5F51">
            <w:pPr>
              <w:widowControl/>
              <w:jc w:val="left"/>
              <w:rPr>
                <w:rFonts w:ascii="Calibri" w:hAnsi="Calibri"/>
                <w:kern w:val="2"/>
                <w:sz w:val="21"/>
                <w:szCs w:val="22"/>
              </w:rPr>
            </w:pPr>
            <w:r>
              <w:rPr>
                <w:rFonts w:hint="eastAsia" w:ascii="Calibri" w:hAnsi="Calibri" w:cs="宋体"/>
                <w:sz w:val="24"/>
                <w:szCs w:val="22"/>
                <w:lang w:bidi="ar"/>
              </w:rPr>
              <w:t xml:space="preserve">7、项目措施费为供应商依据图纸和各自的施工组织和技术方案自行报价，供应商所报的措施费为完成该项目施工期间可能发生的一切涉及的措施费用，措施费中须包括但不限于工程量清单中所描述的各项措施费用项目和完成该工程所发生的除该文件中所描述外另包括但不限于：根据施工需要额外增加的其他必要的安全防护设施、各种检查前卫生清扫、现场布置及接待费等，措施费不得再以工期、环境、设计和施工方案等发生变化为由调整，同时，需考虑因工期紧及现场施工情况，赶工期及其他不可预见因素可能产生的费用，清单控制价不再单独列费用，供应商在投标报价中综合考虑，费用含在投标报价中，成交后不予调整。 </w:t>
            </w:r>
          </w:p>
          <w:p w14:paraId="6AE77240">
            <w:pPr>
              <w:widowControl/>
              <w:jc w:val="left"/>
              <w:rPr>
                <w:rFonts w:ascii="Calibri" w:hAnsi="Calibri"/>
                <w:kern w:val="2"/>
                <w:sz w:val="21"/>
                <w:szCs w:val="22"/>
              </w:rPr>
            </w:pPr>
            <w:r>
              <w:rPr>
                <w:rFonts w:hint="eastAsia" w:ascii="Calibri" w:hAnsi="Calibri" w:cs="宋体"/>
                <w:sz w:val="24"/>
                <w:szCs w:val="22"/>
                <w:lang w:bidi="ar"/>
              </w:rPr>
              <w:t xml:space="preserve">8、由供应商自行采购的材料均按成交人报价一次性包死，供应商在确定投标报价时应充分考虑材料价格上涨等一切市场风险因素，成交后材料价格将不作任何调整。 </w:t>
            </w:r>
          </w:p>
          <w:p w14:paraId="4C16FA8F">
            <w:pPr>
              <w:widowControl/>
              <w:jc w:val="left"/>
              <w:rPr>
                <w:rFonts w:ascii="Calibri" w:hAnsi="Calibri"/>
                <w:kern w:val="2"/>
                <w:sz w:val="21"/>
                <w:szCs w:val="22"/>
              </w:rPr>
            </w:pPr>
            <w:r>
              <w:rPr>
                <w:rFonts w:hint="eastAsia" w:ascii="Calibri" w:hAnsi="Calibri" w:cs="宋体"/>
                <w:sz w:val="24"/>
                <w:szCs w:val="22"/>
                <w:lang w:bidi="ar"/>
              </w:rPr>
              <w:t xml:space="preserve">9、成交人自行考虑工程材料、设备、运输车辆等运输通道问题，材料、设备等运输车辆进场前，成交人需提前向物业公司报备，成交人需无条件服从物业公司管理。 </w:t>
            </w:r>
          </w:p>
          <w:p w14:paraId="28971CCA">
            <w:pPr>
              <w:widowControl/>
              <w:jc w:val="left"/>
              <w:rPr>
                <w:rFonts w:ascii="Calibri" w:hAnsi="Calibri"/>
                <w:kern w:val="2"/>
                <w:sz w:val="21"/>
                <w:szCs w:val="22"/>
              </w:rPr>
            </w:pPr>
            <w:r>
              <w:rPr>
                <w:rFonts w:hint="eastAsia" w:ascii="Calibri" w:hAnsi="Calibri" w:cs="宋体"/>
                <w:sz w:val="24"/>
                <w:szCs w:val="22"/>
                <w:lang w:bidi="ar"/>
              </w:rPr>
              <w:t xml:space="preserve">10、成交人自行考虑材料堆场、建筑垃圾堆场、加工区、办公区、生活区等临时设施位置，同时必须采取必要的防火、安全用电措施，成交人不得在施工区搭设办公区、生活区，清单控制价不再单独列费用，供应商在投标报价中综合考虑，费用含在投标报价中，成交后不予调整。若成交人租用的场地列入上市计划，成交人无条件拆除地块建筑物以及相关材料的二次搬运由成交人自行承担，清单控制价不再单独列费用，供应商在投标报价中综合考虑，费用含在投标报价中，成交后不再调整。 </w:t>
            </w:r>
          </w:p>
          <w:p w14:paraId="483826E2">
            <w:pPr>
              <w:widowControl/>
              <w:jc w:val="left"/>
              <w:rPr>
                <w:rFonts w:ascii="Calibri" w:hAnsi="Calibri"/>
                <w:kern w:val="2"/>
                <w:sz w:val="21"/>
                <w:szCs w:val="22"/>
              </w:rPr>
            </w:pPr>
            <w:r>
              <w:rPr>
                <w:rFonts w:hint="eastAsia" w:ascii="Calibri" w:hAnsi="Calibri" w:cs="宋体"/>
                <w:sz w:val="24"/>
                <w:szCs w:val="22"/>
                <w:lang w:bidi="ar"/>
              </w:rPr>
              <w:t xml:space="preserve">11、采购人在施工期间提出的设计变更（含工程施工期间，因相关验收主管部门颁发新的验收规范导致的变更等），均由成交人负责实施，成交人不得以变更部分的报价低等理由拒绝施工，变更程序执行相关变更管理办法，成交人拒绝施工的，采购人有权停止支付工程款。 </w:t>
            </w:r>
          </w:p>
          <w:p w14:paraId="2D387A1A">
            <w:pPr>
              <w:widowControl/>
              <w:jc w:val="left"/>
              <w:rPr>
                <w:rFonts w:ascii="Calibri" w:hAnsi="Calibri"/>
                <w:kern w:val="2"/>
                <w:sz w:val="21"/>
                <w:szCs w:val="22"/>
              </w:rPr>
            </w:pPr>
            <w:r>
              <w:rPr>
                <w:rFonts w:hint="eastAsia" w:ascii="Calibri" w:hAnsi="Calibri" w:cs="宋体"/>
                <w:sz w:val="24"/>
                <w:szCs w:val="22"/>
                <w:lang w:bidi="ar"/>
              </w:rPr>
              <w:t xml:space="preserve">12、垃圾清运：成交人需及时将本项目的施工、生活垃圾（含原土建单位遗留的垃圾）及时清运，不得在现场堆放或随意丢弃，并满足采购人管理要求，期间发生的一切费用均由成交人承担，供应商自行报价，成交后不予调整。 </w:t>
            </w:r>
          </w:p>
          <w:p w14:paraId="6AB114A7">
            <w:pPr>
              <w:widowControl/>
              <w:jc w:val="left"/>
              <w:rPr>
                <w:rFonts w:ascii="Calibri" w:hAnsi="Calibri"/>
                <w:kern w:val="2"/>
                <w:sz w:val="21"/>
                <w:szCs w:val="22"/>
              </w:rPr>
            </w:pPr>
            <w:r>
              <w:rPr>
                <w:rFonts w:hint="eastAsia" w:ascii="Calibri" w:hAnsi="Calibri" w:cs="宋体"/>
                <w:sz w:val="24"/>
                <w:szCs w:val="22"/>
                <w:lang w:bidi="ar"/>
              </w:rPr>
              <w:t xml:space="preserve">13、成交人需自行考虑现场实际情况，充分合理安排施工顺序和时间，不得影响其他区域正常办公和使用。 </w:t>
            </w:r>
          </w:p>
          <w:p w14:paraId="26724960">
            <w:pPr>
              <w:widowControl/>
              <w:jc w:val="left"/>
              <w:rPr>
                <w:rFonts w:ascii="Calibri" w:hAnsi="Calibri"/>
                <w:kern w:val="2"/>
                <w:sz w:val="21"/>
                <w:szCs w:val="22"/>
              </w:rPr>
            </w:pPr>
            <w:r>
              <w:rPr>
                <w:rFonts w:hint="eastAsia" w:ascii="Calibri" w:hAnsi="Calibri" w:cs="宋体"/>
                <w:sz w:val="24"/>
                <w:szCs w:val="22"/>
                <w:lang w:bidi="ar"/>
              </w:rPr>
              <w:t xml:space="preserve">14、成交人应当按质保书相关规定履行维修义务，对于维修不及时的，以采购人的书面通知为准，采购人可以直接委托有资质的第三方单位代维，期间产生的所有费用由成交人承担，成交人可从成交人质保金中直接扣除，同时，也不免除成交人对此代维部分工程的质量责任。 </w:t>
            </w:r>
          </w:p>
          <w:p w14:paraId="0975A146">
            <w:pPr>
              <w:widowControl/>
              <w:jc w:val="left"/>
              <w:rPr>
                <w:rFonts w:ascii="Calibri" w:hAnsi="Calibri"/>
                <w:kern w:val="2"/>
                <w:sz w:val="21"/>
                <w:szCs w:val="22"/>
              </w:rPr>
            </w:pPr>
            <w:r>
              <w:rPr>
                <w:rFonts w:hint="eastAsia" w:ascii="Calibri" w:hAnsi="Calibri" w:cs="宋体"/>
                <w:sz w:val="24"/>
                <w:szCs w:val="22"/>
                <w:lang w:bidi="ar"/>
              </w:rPr>
              <w:t xml:space="preserve">15、因本项目特殊性，施工期间可能存在多次接待任务，成交人需按采购人要求做好接待时项目内及周边卫生等保障工作，期间产生的费用已包含在本项目措施费中，清单控制价不再单独列费用，供应商在投标报价中综合考虑，成交后不再调整。 </w:t>
            </w:r>
          </w:p>
          <w:p w14:paraId="00B8B328">
            <w:pPr>
              <w:widowControl/>
              <w:jc w:val="left"/>
              <w:rPr>
                <w:rFonts w:ascii="Calibri" w:hAnsi="Calibri"/>
                <w:kern w:val="2"/>
                <w:sz w:val="21"/>
                <w:szCs w:val="22"/>
              </w:rPr>
            </w:pPr>
            <w:r>
              <w:rPr>
                <w:rFonts w:hint="eastAsia" w:ascii="Calibri" w:hAnsi="Calibri" w:cs="宋体"/>
                <w:sz w:val="24"/>
                <w:szCs w:val="22"/>
                <w:lang w:bidi="ar"/>
              </w:rPr>
              <w:t>16、临时施工用水、用电由成交人与采购人自行协调解决，需无条件服从采购人管理，期间可能存在的装修押金等一切费用（含临时水电费及加装的临时水电表及施工期间临时水、电费等）均由成交人承担，清单控制价不再单独列费用，供应商在投标报价中综合考虑，费用含在投标报价中，中标后不在调整。</w:t>
            </w:r>
            <w:r>
              <w:rPr>
                <w:rFonts w:hint="eastAsia" w:ascii="Calibri" w:hAnsi="Calibri" w:cs="宋体"/>
                <w:b/>
                <w:bCs/>
                <w:sz w:val="24"/>
                <w:szCs w:val="22"/>
                <w:lang w:bidi="ar"/>
              </w:rPr>
              <w:t>水电费按照审定价的7‰在结算时予以扣除。</w:t>
            </w:r>
            <w:r>
              <w:rPr>
                <w:rFonts w:hint="eastAsia" w:ascii="Calibri" w:hAnsi="Calibri" w:cs="宋体"/>
                <w:sz w:val="24"/>
                <w:szCs w:val="22"/>
                <w:lang w:bidi="ar"/>
              </w:rPr>
              <w:t xml:space="preserve"> </w:t>
            </w:r>
          </w:p>
          <w:p w14:paraId="48BDA5E6">
            <w:pPr>
              <w:widowControl/>
              <w:jc w:val="left"/>
              <w:rPr>
                <w:rFonts w:ascii="Calibri" w:hAnsi="Calibri" w:cs="宋体"/>
                <w:sz w:val="24"/>
                <w:szCs w:val="22"/>
                <w:lang w:bidi="ar"/>
              </w:rPr>
            </w:pPr>
            <w:r>
              <w:rPr>
                <w:rFonts w:hint="eastAsia" w:ascii="Calibri" w:hAnsi="Calibri" w:cs="宋体"/>
                <w:sz w:val="24"/>
                <w:szCs w:val="22"/>
                <w:lang w:bidi="ar"/>
              </w:rPr>
              <w:t>1</w:t>
            </w:r>
            <w:r>
              <w:rPr>
                <w:rFonts w:ascii="Calibri" w:hAnsi="Calibri" w:cs="宋体"/>
                <w:sz w:val="24"/>
                <w:szCs w:val="22"/>
                <w:lang w:bidi="ar"/>
              </w:rPr>
              <w:t>7</w:t>
            </w:r>
            <w:r>
              <w:rPr>
                <w:rFonts w:hint="eastAsia" w:ascii="Calibri" w:hAnsi="Calibri" w:cs="宋体"/>
                <w:sz w:val="24"/>
                <w:szCs w:val="22"/>
                <w:lang w:bidi="ar"/>
              </w:rPr>
              <w:t xml:space="preserve">、工程交付前，成交人需委托专业的保洁公司完成项目所有区域（包含但不限于墙面、地面、顶面、幕墙、设施设备、固定家具、门窗、镜面、栏杆、地台等）精保洁工作，直至满足采购人要求，期间发生的所有费用均由成交人承担，供应商自行报价，成交后不予调整。如成交人拒绝的或保洁程度达不到采购人要求的，采购人可直接委托第三方保洁公司进行保洁，期间，产生的所有费用和责任均由成交人承担。 </w:t>
            </w:r>
          </w:p>
          <w:p w14:paraId="2E925461">
            <w:pPr>
              <w:widowControl/>
              <w:jc w:val="left"/>
              <w:rPr>
                <w:rFonts w:hint="eastAsia"/>
                <w:kern w:val="2"/>
                <w:sz w:val="24"/>
              </w:rPr>
            </w:pPr>
            <w:r>
              <w:rPr>
                <w:rFonts w:hint="eastAsia" w:ascii="Calibri" w:hAnsi="Calibri" w:cs="宋体"/>
                <w:sz w:val="24"/>
                <w:szCs w:val="22"/>
                <w:lang w:bidi="ar"/>
              </w:rPr>
              <w:t>18、成交人自行采购的材料设备品牌、规格型号、颜色、样式需经采购人人认可后方可使用，否则相应的工程量不予认可，同时，施工材料需严格按照监理单位、采购人及物业公司要求堆放。</w:t>
            </w:r>
          </w:p>
        </w:tc>
      </w:tr>
      <w:tr w14:paraId="1896F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vAlign w:val="center"/>
          </w:tcPr>
          <w:p w14:paraId="47C55126">
            <w:pPr>
              <w:spacing w:line="360" w:lineRule="auto"/>
              <w:jc w:val="center"/>
              <w:rPr>
                <w:rFonts w:hint="eastAsia"/>
                <w:sz w:val="24"/>
              </w:rPr>
            </w:pPr>
            <w:r>
              <w:rPr>
                <w:rFonts w:hint="eastAsia" w:cs="@仿宋_GB2312"/>
                <w:bCs/>
                <w:kern w:val="2"/>
                <w:sz w:val="24"/>
                <w:szCs w:val="22"/>
              </w:rPr>
              <w:t>16</w:t>
            </w:r>
          </w:p>
        </w:tc>
        <w:tc>
          <w:tcPr>
            <w:tcW w:w="1291" w:type="dxa"/>
            <w:vAlign w:val="center"/>
          </w:tcPr>
          <w:p w14:paraId="77C6E981">
            <w:pPr>
              <w:pStyle w:val="6"/>
              <w:adjustRightInd w:val="0"/>
              <w:snapToGrid w:val="0"/>
              <w:rPr>
                <w:rFonts w:hint="eastAsia" w:ascii="宋体" w:hAnsi="宋体" w:eastAsia="宋体"/>
                <w:kern w:val="2"/>
                <w:sz w:val="24"/>
                <w:szCs w:val="20"/>
              </w:rPr>
            </w:pPr>
            <w:r>
              <w:rPr>
                <w:rFonts w:hint="eastAsia" w:ascii="宋体" w:hAnsi="宋体" w:eastAsia="宋体" w:cs="宋体"/>
                <w:kern w:val="2"/>
                <w:sz w:val="24"/>
              </w:rPr>
              <w:t>执行的主要技术标准、规范</w:t>
            </w:r>
          </w:p>
        </w:tc>
        <w:tc>
          <w:tcPr>
            <w:tcW w:w="6355" w:type="dxa"/>
            <w:vAlign w:val="center"/>
          </w:tcPr>
          <w:p w14:paraId="24F8FDBD">
            <w:pPr>
              <w:widowControl/>
              <w:jc w:val="left"/>
              <w:rPr>
                <w:rFonts w:ascii="Calibri" w:hAnsi="Calibri" w:cs="宋体"/>
                <w:bCs/>
                <w:sz w:val="24"/>
                <w:lang w:val="zh-CN" w:bidi="ar"/>
              </w:rPr>
            </w:pPr>
            <w:r>
              <w:rPr>
                <w:rFonts w:hint="eastAsia" w:ascii="Calibri" w:hAnsi="Calibri" w:cs="宋体"/>
                <w:bCs/>
                <w:sz w:val="24"/>
                <w:lang w:val="zh-CN" w:bidi="ar"/>
              </w:rPr>
              <w:t>《建筑结构荷载规范》(GB50009-2012)</w:t>
            </w:r>
          </w:p>
          <w:p w14:paraId="7F2B0982">
            <w:pPr>
              <w:widowControl/>
              <w:jc w:val="left"/>
              <w:rPr>
                <w:rFonts w:ascii="Calibri" w:hAnsi="Calibri" w:cs="宋体"/>
                <w:bCs/>
                <w:sz w:val="24"/>
                <w:lang w:val="zh-CN" w:bidi="ar"/>
              </w:rPr>
            </w:pPr>
            <w:r>
              <w:rPr>
                <w:rFonts w:hint="eastAsia" w:ascii="Calibri" w:hAnsi="Calibri" w:cs="宋体"/>
                <w:bCs/>
                <w:sz w:val="24"/>
                <w:lang w:val="zh-CN" w:bidi="ar"/>
              </w:rPr>
              <w:t>《混凝土结构设计规范》(GB50010-2010)(2015年版)</w:t>
            </w:r>
          </w:p>
          <w:p w14:paraId="3118B5DD">
            <w:pPr>
              <w:widowControl/>
              <w:jc w:val="left"/>
              <w:rPr>
                <w:rFonts w:ascii="Calibri" w:hAnsi="Calibri" w:cs="宋体"/>
                <w:bCs/>
                <w:sz w:val="24"/>
                <w:lang w:val="zh-CN" w:bidi="ar"/>
              </w:rPr>
            </w:pPr>
            <w:r>
              <w:rPr>
                <w:rFonts w:hint="eastAsia" w:ascii="Calibri" w:hAnsi="Calibri" w:cs="宋体"/>
                <w:bCs/>
                <w:sz w:val="24"/>
                <w:lang w:val="zh-CN" w:bidi="ar"/>
              </w:rPr>
              <w:t>《供配电系统设计规范》GB50052-2009</w:t>
            </w:r>
          </w:p>
          <w:p w14:paraId="1C05C005">
            <w:pPr>
              <w:widowControl/>
              <w:jc w:val="left"/>
              <w:rPr>
                <w:rFonts w:ascii="Calibri" w:hAnsi="Calibri" w:cs="宋体"/>
                <w:bCs/>
                <w:sz w:val="24"/>
                <w:lang w:val="zh-CN" w:bidi="ar"/>
              </w:rPr>
            </w:pPr>
            <w:r>
              <w:rPr>
                <w:rFonts w:hint="eastAsia" w:ascii="Calibri" w:hAnsi="Calibri" w:cs="宋体"/>
                <w:bCs/>
                <w:sz w:val="24"/>
                <w:lang w:val="zh-CN" w:bidi="ar"/>
              </w:rPr>
              <w:t>《低压配电设计规范》GB50054-2011</w:t>
            </w:r>
          </w:p>
          <w:p w14:paraId="23A44667">
            <w:pPr>
              <w:widowControl/>
              <w:jc w:val="left"/>
              <w:rPr>
                <w:rFonts w:ascii="Calibri" w:hAnsi="Calibri" w:cs="宋体"/>
                <w:bCs/>
                <w:sz w:val="24"/>
                <w:lang w:val="zh-CN" w:bidi="ar"/>
              </w:rPr>
            </w:pPr>
            <w:r>
              <w:rPr>
                <w:rFonts w:hint="eastAsia" w:ascii="Calibri" w:hAnsi="Calibri" w:cs="宋体"/>
                <w:bCs/>
                <w:sz w:val="24"/>
                <w:lang w:val="zh-CN" w:bidi="ar"/>
              </w:rPr>
              <w:t>《通用用电设备配电设计规范》GB50055-2011</w:t>
            </w:r>
          </w:p>
          <w:p w14:paraId="702D94F0">
            <w:pPr>
              <w:widowControl/>
              <w:jc w:val="left"/>
              <w:rPr>
                <w:rFonts w:ascii="Calibri" w:hAnsi="Calibri" w:cs="宋体"/>
                <w:bCs/>
                <w:sz w:val="24"/>
                <w:lang w:val="zh-CN" w:bidi="ar"/>
              </w:rPr>
            </w:pPr>
            <w:r>
              <w:rPr>
                <w:rFonts w:hint="eastAsia" w:ascii="Calibri" w:hAnsi="Calibri" w:cs="宋体"/>
                <w:bCs/>
                <w:sz w:val="24"/>
                <w:lang w:val="zh-CN" w:bidi="ar"/>
              </w:rPr>
              <w:t>《民用建筑电气设计标准》GB51348-2019</w:t>
            </w:r>
          </w:p>
          <w:p w14:paraId="1FB7ABE2">
            <w:pPr>
              <w:widowControl/>
              <w:jc w:val="left"/>
              <w:rPr>
                <w:rFonts w:ascii="Calibri" w:hAnsi="Calibri" w:cs="宋体"/>
                <w:bCs/>
                <w:sz w:val="24"/>
                <w:lang w:val="zh-CN" w:bidi="ar"/>
              </w:rPr>
            </w:pPr>
            <w:r>
              <w:rPr>
                <w:rFonts w:hint="eastAsia" w:ascii="Calibri" w:hAnsi="Calibri" w:cs="宋体"/>
                <w:bCs/>
                <w:sz w:val="24"/>
                <w:lang w:val="zh-CN" w:bidi="ar"/>
              </w:rPr>
              <w:t>《建筑设计防火规范》GB50016-2014(2018年版)</w:t>
            </w:r>
          </w:p>
          <w:p w14:paraId="6449B7C5">
            <w:pPr>
              <w:widowControl/>
              <w:jc w:val="left"/>
              <w:rPr>
                <w:rFonts w:ascii="Calibri" w:hAnsi="Calibri" w:cs="宋体"/>
                <w:bCs/>
                <w:sz w:val="24"/>
                <w:lang w:val="zh-CN" w:bidi="ar"/>
              </w:rPr>
            </w:pPr>
            <w:r>
              <w:rPr>
                <w:rFonts w:hint="eastAsia" w:ascii="Calibri" w:hAnsi="Calibri" w:cs="宋体"/>
                <w:bCs/>
                <w:sz w:val="24"/>
                <w:lang w:val="zh-CN" w:bidi="ar"/>
              </w:rPr>
              <w:t>《建筑内部装修设计防火规范》GB50222-2017</w:t>
            </w:r>
          </w:p>
          <w:p w14:paraId="7B1BE305">
            <w:pPr>
              <w:widowControl/>
              <w:jc w:val="left"/>
              <w:rPr>
                <w:rFonts w:ascii="Calibri" w:hAnsi="Calibri" w:cs="宋体"/>
                <w:bCs/>
                <w:sz w:val="24"/>
                <w:lang w:val="zh-CN" w:bidi="ar"/>
              </w:rPr>
            </w:pPr>
            <w:r>
              <w:rPr>
                <w:rFonts w:hint="eastAsia" w:ascii="Calibri" w:hAnsi="Calibri" w:cs="宋体"/>
                <w:bCs/>
                <w:sz w:val="24"/>
                <w:lang w:val="zh-CN" w:bidi="ar"/>
              </w:rPr>
              <w:t>《消防应急照明和疏散指示系统技术标准》GB 51309-2018</w:t>
            </w:r>
          </w:p>
          <w:p w14:paraId="77E12A94">
            <w:pPr>
              <w:widowControl/>
              <w:jc w:val="left"/>
              <w:rPr>
                <w:rFonts w:ascii="Calibri" w:hAnsi="Calibri" w:cs="宋体"/>
                <w:bCs/>
                <w:sz w:val="24"/>
                <w:lang w:val="zh-CN" w:bidi="ar"/>
              </w:rPr>
            </w:pPr>
            <w:r>
              <w:rPr>
                <w:rFonts w:hint="eastAsia" w:ascii="Calibri" w:hAnsi="Calibri" w:cs="宋体"/>
                <w:bCs/>
                <w:sz w:val="24"/>
                <w:lang w:val="zh-CN" w:bidi="ar"/>
              </w:rPr>
              <w:t>《火灾自动报警系统设计规范》GB 50116-2013</w:t>
            </w:r>
          </w:p>
          <w:p w14:paraId="142B6209">
            <w:pPr>
              <w:widowControl/>
              <w:jc w:val="left"/>
              <w:rPr>
                <w:rFonts w:ascii="Calibri" w:hAnsi="Calibri" w:cs="宋体"/>
                <w:bCs/>
                <w:sz w:val="24"/>
                <w:lang w:val="zh-CN" w:bidi="ar"/>
              </w:rPr>
            </w:pPr>
            <w:r>
              <w:rPr>
                <w:rFonts w:hint="eastAsia" w:ascii="Calibri" w:hAnsi="Calibri" w:cs="宋体"/>
                <w:bCs/>
                <w:sz w:val="24"/>
                <w:lang w:val="zh-CN" w:bidi="ar"/>
              </w:rPr>
              <w:t>《建筑防火通用规范》GB55037-2022</w:t>
            </w:r>
          </w:p>
          <w:p w14:paraId="5F5CA6E5">
            <w:pPr>
              <w:widowControl/>
              <w:jc w:val="left"/>
              <w:rPr>
                <w:rFonts w:ascii="Calibri" w:hAnsi="Calibri" w:cs="宋体"/>
                <w:bCs/>
                <w:sz w:val="24"/>
                <w:lang w:val="zh-CN" w:bidi="ar"/>
              </w:rPr>
            </w:pPr>
            <w:r>
              <w:rPr>
                <w:rFonts w:hint="eastAsia" w:ascii="Calibri" w:hAnsi="Calibri" w:cs="宋体"/>
                <w:bCs/>
                <w:sz w:val="24"/>
                <w:lang w:val="zh-CN" w:bidi="ar"/>
              </w:rPr>
              <w:t>《建筑节能与可再生能源利用通用规范》GB55015-2021</w:t>
            </w:r>
          </w:p>
          <w:p w14:paraId="007B7ECE">
            <w:pPr>
              <w:widowControl/>
              <w:jc w:val="left"/>
              <w:rPr>
                <w:rFonts w:ascii="Calibri" w:hAnsi="Calibri" w:cs="宋体"/>
                <w:bCs/>
                <w:sz w:val="24"/>
                <w:lang w:val="zh-CN" w:bidi="ar"/>
              </w:rPr>
            </w:pPr>
            <w:r>
              <w:rPr>
                <w:rFonts w:hint="eastAsia" w:ascii="Calibri" w:hAnsi="Calibri" w:cs="宋体"/>
                <w:bCs/>
                <w:sz w:val="24"/>
                <w:lang w:val="zh-CN" w:bidi="ar"/>
              </w:rPr>
              <w:t>《建筑电气与智能化通用规范》GB55024-2022</w:t>
            </w:r>
          </w:p>
          <w:p w14:paraId="1CBC4F9F">
            <w:pPr>
              <w:widowControl/>
              <w:jc w:val="left"/>
              <w:rPr>
                <w:rFonts w:ascii="Calibri" w:hAnsi="Calibri" w:cs="宋体"/>
                <w:bCs/>
                <w:sz w:val="24"/>
                <w:lang w:val="zh-CN" w:bidi="ar"/>
              </w:rPr>
            </w:pPr>
            <w:r>
              <w:rPr>
                <w:rFonts w:hint="eastAsia" w:ascii="Calibri" w:hAnsi="Calibri" w:cs="宋体"/>
                <w:bCs/>
                <w:sz w:val="24"/>
                <w:lang w:val="zh-CN" w:bidi="ar"/>
              </w:rPr>
              <w:t>《火灾自动报警系统施工及验收标准》GB50166-2019</w:t>
            </w:r>
          </w:p>
          <w:p w14:paraId="7F4755BC">
            <w:pPr>
              <w:widowControl/>
              <w:jc w:val="left"/>
              <w:rPr>
                <w:rFonts w:ascii="Calibri" w:hAnsi="Calibri" w:cs="宋体"/>
                <w:bCs/>
                <w:sz w:val="24"/>
                <w:lang w:val="zh-CN" w:bidi="ar"/>
              </w:rPr>
            </w:pPr>
            <w:r>
              <w:rPr>
                <w:rFonts w:hint="eastAsia" w:ascii="Calibri" w:hAnsi="Calibri" w:cs="宋体"/>
                <w:bCs/>
                <w:sz w:val="24"/>
                <w:lang w:val="zh-CN" w:bidi="ar"/>
              </w:rPr>
              <w:t>《消防应急照明和疏散指示系》GB517945-2010</w:t>
            </w:r>
          </w:p>
          <w:p w14:paraId="6EB103DE">
            <w:pPr>
              <w:widowControl/>
              <w:jc w:val="left"/>
              <w:rPr>
                <w:rFonts w:ascii="Calibri" w:hAnsi="Calibri" w:cs="宋体"/>
                <w:bCs/>
                <w:sz w:val="24"/>
                <w:lang w:val="zh-CN" w:bidi="ar"/>
              </w:rPr>
            </w:pPr>
            <w:r>
              <w:rPr>
                <w:rFonts w:hint="eastAsia" w:ascii="Calibri" w:hAnsi="Calibri" w:cs="宋体"/>
                <w:bCs/>
                <w:sz w:val="24"/>
                <w:lang w:val="zh-CN" w:bidi="ar"/>
              </w:rPr>
              <w:t>《消防设施通用规范》GB55036-2022</w:t>
            </w:r>
          </w:p>
          <w:p w14:paraId="17EE59E8">
            <w:pPr>
              <w:widowControl/>
              <w:jc w:val="left"/>
              <w:rPr>
                <w:rFonts w:ascii="Calibri" w:hAnsi="Calibri" w:cs="宋体"/>
                <w:bCs/>
                <w:sz w:val="24"/>
                <w:lang w:bidi="ar"/>
              </w:rPr>
            </w:pPr>
            <w:r>
              <w:rPr>
                <w:rFonts w:hint="eastAsia" w:ascii="Calibri" w:hAnsi="Calibri" w:cs="宋体"/>
                <w:bCs/>
                <w:sz w:val="24"/>
                <w:lang w:bidi="ar"/>
              </w:rPr>
              <w:t>《建筑防烟排烟系统技术标准》（GB51251－2017）</w:t>
            </w:r>
          </w:p>
          <w:p w14:paraId="2DFBCF4E">
            <w:pPr>
              <w:widowControl/>
              <w:jc w:val="left"/>
              <w:rPr>
                <w:rFonts w:ascii="Calibri" w:hAnsi="Calibri" w:cs="宋体"/>
                <w:bCs/>
                <w:sz w:val="24"/>
                <w:lang w:bidi="ar"/>
              </w:rPr>
            </w:pPr>
            <w:r>
              <w:rPr>
                <w:rFonts w:hint="eastAsia" w:ascii="Calibri" w:hAnsi="Calibri" w:cs="宋体"/>
                <w:bCs/>
                <w:sz w:val="24"/>
                <w:lang w:bidi="ar"/>
              </w:rPr>
              <w:t>《建筑节能与可再生能源利用规范》（GB55015-2021）</w:t>
            </w:r>
          </w:p>
          <w:p w14:paraId="304CBBC1">
            <w:pPr>
              <w:widowControl/>
              <w:jc w:val="left"/>
              <w:rPr>
                <w:rFonts w:ascii="Calibri" w:hAnsi="Calibri" w:cs="宋体"/>
                <w:bCs/>
                <w:sz w:val="24"/>
                <w:lang w:bidi="ar"/>
              </w:rPr>
            </w:pPr>
            <w:r>
              <w:rPr>
                <w:rFonts w:hint="eastAsia" w:ascii="Calibri" w:hAnsi="Calibri" w:cs="宋体"/>
                <w:bCs/>
                <w:sz w:val="24"/>
                <w:lang w:bidi="ar"/>
              </w:rPr>
              <w:t>《安徽省公共建筑节能设计标准》（DB34/5076-2023）</w:t>
            </w:r>
          </w:p>
          <w:p w14:paraId="0ACB9B7B">
            <w:pPr>
              <w:widowControl/>
              <w:jc w:val="left"/>
              <w:rPr>
                <w:rFonts w:ascii="Calibri" w:hAnsi="Calibri" w:cs="宋体"/>
                <w:bCs/>
                <w:sz w:val="24"/>
                <w:lang w:bidi="ar"/>
              </w:rPr>
            </w:pPr>
            <w:r>
              <w:rPr>
                <w:rFonts w:hint="eastAsia" w:ascii="Calibri" w:hAnsi="Calibri" w:cs="宋体"/>
                <w:bCs/>
                <w:sz w:val="24"/>
                <w:lang w:bidi="ar"/>
              </w:rPr>
              <w:t>《全国民用建筑工程设计技术措施 暖通空调 动力》（2009年）</w:t>
            </w:r>
          </w:p>
          <w:p w14:paraId="40187249">
            <w:pPr>
              <w:widowControl/>
              <w:jc w:val="left"/>
              <w:rPr>
                <w:rFonts w:ascii="Calibri" w:hAnsi="Calibri" w:cs="宋体"/>
                <w:bCs/>
                <w:sz w:val="24"/>
                <w:lang w:bidi="ar"/>
              </w:rPr>
            </w:pPr>
            <w:r>
              <w:rPr>
                <w:rFonts w:hint="eastAsia" w:ascii="Calibri" w:hAnsi="Calibri" w:cs="宋体"/>
                <w:bCs/>
                <w:sz w:val="24"/>
                <w:lang w:bidi="ar"/>
              </w:rPr>
              <w:t>《既有建筑维护与改造通用规范》（GB55022-2021）</w:t>
            </w:r>
          </w:p>
          <w:p w14:paraId="04E521A1">
            <w:pPr>
              <w:widowControl/>
              <w:jc w:val="left"/>
              <w:rPr>
                <w:rFonts w:ascii="Calibri" w:hAnsi="Calibri" w:cs="宋体"/>
                <w:bCs/>
                <w:sz w:val="24"/>
                <w:lang w:bidi="ar"/>
              </w:rPr>
            </w:pPr>
            <w:r>
              <w:rPr>
                <w:rFonts w:hint="eastAsia" w:ascii="Calibri" w:hAnsi="Calibri" w:cs="宋体"/>
                <w:bCs/>
                <w:sz w:val="24"/>
                <w:lang w:bidi="ar"/>
              </w:rPr>
              <w:t>《合肥市既有建筑改造设计与审查导则（试行）》</w:t>
            </w:r>
          </w:p>
          <w:p w14:paraId="6547DF6C">
            <w:pPr>
              <w:widowControl/>
              <w:jc w:val="left"/>
              <w:rPr>
                <w:rFonts w:ascii="Calibri" w:hAnsi="Calibri" w:cs="宋体"/>
                <w:bCs/>
                <w:sz w:val="24"/>
                <w:lang w:bidi="ar"/>
              </w:rPr>
            </w:pPr>
            <w:r>
              <w:rPr>
                <w:rFonts w:hint="eastAsia" w:ascii="Calibri" w:hAnsi="Calibri" w:cs="宋体"/>
                <w:bCs/>
                <w:sz w:val="24"/>
                <w:lang w:bidi="ar"/>
              </w:rPr>
              <w:t>《合肥市既有建筑改造消防设计及审查指南》（试行）</w:t>
            </w:r>
          </w:p>
          <w:p w14:paraId="11532C72">
            <w:pPr>
              <w:widowControl/>
              <w:jc w:val="left"/>
              <w:rPr>
                <w:rFonts w:ascii="Calibri" w:hAnsi="Calibri" w:cs="宋体"/>
                <w:bCs/>
                <w:sz w:val="24"/>
                <w:lang w:bidi="ar"/>
              </w:rPr>
            </w:pPr>
            <w:r>
              <w:rPr>
                <w:rFonts w:hint="eastAsia" w:ascii="Calibri" w:hAnsi="Calibri" w:cs="宋体"/>
                <w:bCs/>
                <w:sz w:val="24"/>
                <w:lang w:bidi="ar"/>
              </w:rPr>
              <w:t>《智能建筑设计标准》（GB50314—2015）</w:t>
            </w:r>
          </w:p>
          <w:p w14:paraId="3EDCCEB5">
            <w:pPr>
              <w:widowControl/>
              <w:jc w:val="left"/>
              <w:rPr>
                <w:rFonts w:ascii="Calibri" w:hAnsi="Calibri" w:cs="宋体"/>
                <w:bCs/>
                <w:sz w:val="24"/>
                <w:lang w:bidi="ar"/>
              </w:rPr>
            </w:pPr>
            <w:r>
              <w:rPr>
                <w:rFonts w:hint="eastAsia" w:ascii="Calibri" w:hAnsi="Calibri" w:cs="宋体"/>
                <w:bCs/>
                <w:sz w:val="24"/>
                <w:lang w:bidi="ar"/>
              </w:rPr>
              <w:t>《综合布线系统工程设计规范》（GB50311-2016）</w:t>
            </w:r>
          </w:p>
          <w:p w14:paraId="37F2BF8F">
            <w:pPr>
              <w:widowControl/>
              <w:jc w:val="left"/>
              <w:rPr>
                <w:rFonts w:ascii="Calibri" w:hAnsi="Calibri" w:cs="宋体"/>
                <w:bCs/>
                <w:sz w:val="24"/>
                <w:lang w:bidi="ar"/>
              </w:rPr>
            </w:pPr>
            <w:r>
              <w:rPr>
                <w:rFonts w:hint="eastAsia" w:ascii="Calibri" w:hAnsi="Calibri" w:cs="宋体"/>
                <w:bCs/>
                <w:sz w:val="24"/>
                <w:lang w:bidi="ar"/>
              </w:rPr>
              <w:t>《智能建筑设计标准》（GB50314—2015）</w:t>
            </w:r>
          </w:p>
          <w:p w14:paraId="76ABA790">
            <w:pPr>
              <w:widowControl/>
              <w:jc w:val="left"/>
              <w:rPr>
                <w:rFonts w:ascii="Calibri" w:hAnsi="Calibri" w:cs="宋体"/>
                <w:bCs/>
                <w:sz w:val="24"/>
                <w:lang w:bidi="ar"/>
              </w:rPr>
            </w:pPr>
            <w:r>
              <w:rPr>
                <w:rFonts w:hint="eastAsia" w:ascii="Calibri" w:hAnsi="Calibri" w:cs="宋体"/>
                <w:bCs/>
                <w:sz w:val="24"/>
                <w:lang w:bidi="ar"/>
              </w:rPr>
              <w:t>《</w:t>
            </w:r>
            <w:r>
              <w:rPr>
                <w:rFonts w:hint="eastAsia" w:ascii="Calibri" w:hAnsi="Calibri" w:cs="宋体"/>
                <w:bCs/>
                <w:color w:val="000000"/>
                <w:sz w:val="24"/>
                <w:szCs w:val="22"/>
                <w:lang w:bidi="ar"/>
              </w:rPr>
              <w:t>建筑工程施工质量验收统一标准</w:t>
            </w:r>
            <w:r>
              <w:rPr>
                <w:rFonts w:hint="eastAsia" w:ascii="Calibri" w:hAnsi="Calibri" w:cs="宋体"/>
                <w:bCs/>
                <w:sz w:val="24"/>
                <w:lang w:bidi="ar"/>
              </w:rPr>
              <w:t>》（</w:t>
            </w:r>
            <w:r>
              <w:rPr>
                <w:rFonts w:hint="eastAsia" w:ascii="Calibri" w:hAnsi="Calibri" w:cs="宋体"/>
                <w:bCs/>
                <w:color w:val="000000"/>
                <w:sz w:val="24"/>
                <w:szCs w:val="22"/>
                <w:lang w:bidi="ar"/>
              </w:rPr>
              <w:t>GB50300-2013</w:t>
            </w:r>
            <w:r>
              <w:rPr>
                <w:rFonts w:hint="eastAsia" w:ascii="Calibri" w:hAnsi="Calibri" w:cs="宋体"/>
                <w:bCs/>
                <w:sz w:val="24"/>
                <w:lang w:bidi="ar"/>
              </w:rPr>
              <w:t>）</w:t>
            </w:r>
          </w:p>
          <w:p w14:paraId="32483E9E">
            <w:pPr>
              <w:jc w:val="left"/>
              <w:rPr>
                <w:rFonts w:ascii="Calibri" w:hAnsi="Calibri" w:cs="宋体"/>
                <w:sz w:val="24"/>
                <w:szCs w:val="22"/>
                <w:lang w:bidi="ar"/>
              </w:rPr>
            </w:pPr>
            <w:r>
              <w:rPr>
                <w:rFonts w:hint="eastAsia" w:ascii="Calibri" w:hAnsi="Calibri" w:cs="宋体"/>
                <w:bCs/>
                <w:sz w:val="24"/>
                <w:szCs w:val="22"/>
                <w:lang w:bidi="ar"/>
              </w:rPr>
              <w:t>上述标准、规范及规程仅是本工程的最基本依据，并未包括实施中所涉及到的所有标准、规范及规程，具体详见图纸设计说明，上述标准如有最新版本，以最新版本为准。</w:t>
            </w:r>
          </w:p>
        </w:tc>
      </w:tr>
    </w:tbl>
    <w:p w14:paraId="170424C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标宋">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862249"/>
    <w:multiLevelType w:val="singleLevel"/>
    <w:tmpl w:val="7F86224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B95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heme="minorBidi"/>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rPr>
      <w:rFonts w:ascii="Times New Roman" w:cs="Times New Roman"/>
    </w:rPr>
  </w:style>
  <w:style w:type="paragraph" w:styleId="3">
    <w:name w:val="Body Text Indent"/>
    <w:basedOn w:val="1"/>
    <w:next w:val="4"/>
    <w:unhideWhenUsed/>
    <w:qFormat/>
    <w:uiPriority w:val="0"/>
    <w:pPr>
      <w:spacing w:after="120"/>
      <w:ind w:left="420" w:leftChars="200"/>
    </w:pPr>
    <w:rPr>
      <w:rFonts w:asciiTheme="minorHAnsi" w:hAnsiTheme="minorHAnsi"/>
      <w:kern w:val="2"/>
      <w:sz w:val="21"/>
      <w:szCs w:val="22"/>
    </w:rPr>
  </w:style>
  <w:style w:type="paragraph" w:styleId="4">
    <w:name w:val="envelope return"/>
    <w:basedOn w:val="1"/>
    <w:qFormat/>
    <w:uiPriority w:val="99"/>
    <w:pPr>
      <w:snapToGrid w:val="0"/>
    </w:pPr>
    <w:rPr>
      <w:rFonts w:ascii="Arial" w:hAnsi="Arial" w:cs="Arial"/>
    </w:rPr>
  </w:style>
  <w:style w:type="paragraph" w:styleId="6">
    <w:name w:val="Body Text"/>
    <w:basedOn w:val="1"/>
    <w:next w:val="1"/>
    <w:qFormat/>
    <w:uiPriority w:val="0"/>
    <w:pPr>
      <w:spacing w:after="120"/>
    </w:pPr>
    <w:rPr>
      <w:rFonts w:ascii="@微软简标宋" w:hAnsi="@微软简标宋" w:eastAsia="@微软简标宋" w:cs="@微软简标宋"/>
      <w:szCs w:val="24"/>
      <w:lang w:val="zh-CN"/>
    </w:rPr>
  </w:style>
  <w:style w:type="table" w:styleId="8">
    <w:name w:val="Table Grid"/>
    <w:basedOn w:val="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xl31"/>
    <w:basedOn w:val="1"/>
    <w:qFormat/>
    <w:uiPriority w:val="0"/>
    <w:pPr>
      <w:widowControl/>
      <w:spacing w:before="100" w:beforeAutospacing="1" w:after="100" w:afterAutospacing="1"/>
      <w:jc w:val="center"/>
    </w:pPr>
    <w:rPr>
      <w:b/>
      <w:bCs/>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2025-06-11T07:51:52Z</dcterms:created>
  <dc:creator>admin</dc:creator>
  <cp:lastModifiedBy>王婧</cp:lastModifiedBy>
  <dcterms:modified xsi:type="dcterms:W3CDTF">2025-06-11T07:52:05Z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eyJoZGlkIjoiNmRhNTI4MTI5MmZhYjI4MzA4Y2M5YzlhMmQ2OTBlZmYiLCJ1c2VySWQiOiIxNTE4NTIyNTc5In0=</vt:lpwstr>
  </property>
  <property fmtid="{D5CDD505-2E9C-101B-9397-08002B2CF9AE}" pid="4" name="ICV">
    <vt:lpwstr>C03E9819C6E44537A555CCEA7DE22738_12</vt:lpwstr>
  </property>
</Properties>
</file>